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2502" w14:textId="77777777" w:rsidR="002766EC" w:rsidRDefault="00000000">
      <w:pPr>
        <w:pStyle w:val="BodyText"/>
        <w:spacing w:before="383"/>
        <w:ind w:right="140"/>
        <w:jc w:val="center"/>
        <w:rPr>
          <w:rFonts w:ascii="Calibri" w:eastAsia="Calibri" w:hAnsi="Calibri" w:cs="Calibri"/>
        </w:rPr>
      </w:pPr>
      <w:r>
        <w:rPr>
          <w:b/>
          <w:bCs/>
          <w:color w:val="00AFEF"/>
          <w:sz w:val="48"/>
          <w:szCs w:val="48"/>
          <w:u w:color="00AFEF"/>
        </w:rPr>
        <w:br/>
      </w:r>
      <w:r>
        <w:rPr>
          <w:rFonts w:ascii="Calibri" w:hAnsi="Calibri"/>
          <w:b/>
          <w:bCs/>
          <w:color w:val="44546A"/>
          <w:sz w:val="48"/>
          <w:szCs w:val="48"/>
          <w:u w:color="44546A"/>
        </w:rPr>
        <w:t>Laboratory Information Management System (LIMS): “System of Systems” Job Aid</w:t>
      </w:r>
    </w:p>
    <w:p w14:paraId="4DBE6F7B" w14:textId="52932131" w:rsidR="002766EC" w:rsidRDefault="00000000">
      <w:pPr>
        <w:pStyle w:val="BodyText"/>
        <w:spacing w:before="383"/>
        <w:ind w:left="1160" w:right="1264"/>
        <w:rPr>
          <w:rFonts w:ascii="Calibri" w:hAnsi="Calibri"/>
        </w:rPr>
      </w:pPr>
      <w:r>
        <w:rPr>
          <w:rFonts w:ascii="Calibri" w:hAnsi="Calibri"/>
        </w:rPr>
        <w:t xml:space="preserve">Various information systems can work together as a “system of systems” that function together to fulfill the data and informatics needs of an organization. The laboratory information management system (LIMS) is an example of such a “system of systems.” </w:t>
      </w:r>
    </w:p>
    <w:p w14:paraId="2B28C273" w14:textId="402F6FE8" w:rsidR="00630960" w:rsidRDefault="00630960" w:rsidP="00630960">
      <w:pPr>
        <w:pStyle w:val="Body"/>
        <w:ind w:left="1160"/>
        <w:rPr>
          <w:rFonts w:ascii="Calibri" w:hAnsi="Calibri"/>
          <w:b/>
          <w:bCs/>
          <w:color w:val="44546A"/>
          <w:sz w:val="30"/>
          <w:szCs w:val="30"/>
          <w:u w:color="44546A"/>
        </w:rPr>
      </w:pPr>
      <w:r>
        <w:rPr>
          <w:rFonts w:ascii="Calibri" w:hAnsi="Calibri"/>
          <w:b/>
          <w:bCs/>
          <w:color w:val="44546A"/>
          <w:sz w:val="30"/>
          <w:szCs w:val="30"/>
          <w:u w:color="44546A"/>
        </w:rPr>
        <w:br/>
      </w:r>
      <w:r>
        <w:rPr>
          <w:rFonts w:ascii="Calibri" w:hAnsi="Calibri"/>
          <w:b/>
          <w:bCs/>
          <w:color w:val="44546A"/>
          <w:sz w:val="30"/>
          <w:szCs w:val="30"/>
          <w:u w:color="44546A"/>
        </w:rPr>
        <w:t xml:space="preserve">The LIMS as a </w:t>
      </w:r>
      <w:r>
        <w:rPr>
          <w:rFonts w:ascii="Calibri" w:hAnsi="Calibri"/>
          <w:b/>
          <w:bCs/>
          <w:color w:val="44546A"/>
          <w:sz w:val="30"/>
          <w:szCs w:val="30"/>
          <w:u w:color="44546A"/>
          <w:rtl/>
          <w:lang w:val="ar-SA"/>
        </w:rPr>
        <w:t>“</w:t>
      </w:r>
      <w:r>
        <w:rPr>
          <w:rFonts w:ascii="Calibri" w:hAnsi="Calibri"/>
          <w:b/>
          <w:bCs/>
          <w:color w:val="44546A"/>
          <w:sz w:val="30"/>
          <w:szCs w:val="30"/>
          <w:u w:color="44546A"/>
        </w:rPr>
        <w:t>System of Systems”</w:t>
      </w:r>
      <w:r>
        <w:rPr>
          <w:rFonts w:ascii="Calibri" w:hAnsi="Calibri"/>
          <w:b/>
          <w:bCs/>
          <w:color w:val="44546A"/>
          <w:sz w:val="30"/>
          <w:szCs w:val="30"/>
          <w:u w:color="44546A"/>
        </w:rPr>
        <w:t>:</w:t>
      </w:r>
    </w:p>
    <w:p w14:paraId="20514147" w14:textId="77777777" w:rsidR="00630960" w:rsidRDefault="00630960" w:rsidP="00630960">
      <w:pPr>
        <w:pStyle w:val="Body"/>
        <w:ind w:left="1160"/>
        <w:rPr>
          <w:rFonts w:ascii="Calibri" w:hAnsi="Calibri"/>
          <w:b/>
          <w:bCs/>
          <w:color w:val="44546A"/>
          <w:sz w:val="30"/>
          <w:szCs w:val="30"/>
          <w:u w:color="44546A"/>
        </w:rPr>
      </w:pPr>
    </w:p>
    <w:p w14:paraId="4F6F7F7B" w14:textId="6841FBD6" w:rsidR="00630960" w:rsidRDefault="00630960" w:rsidP="00630960">
      <w:pPr>
        <w:pStyle w:val="Body"/>
        <w:ind w:left="1160"/>
        <w:sectPr w:rsidR="00630960">
          <w:headerReference w:type="first" r:id="rId7"/>
          <w:pgSz w:w="12240" w:h="15840"/>
          <w:pgMar w:top="280" w:right="300" w:bottom="280" w:left="280" w:header="720" w:footer="576" w:gutter="0"/>
          <w:cols w:space="720"/>
          <w:titlePg/>
        </w:sectPr>
      </w:pPr>
      <w:r>
        <w:rPr>
          <w:noProof/>
        </w:rPr>
        <w:drawing>
          <wp:inline distT="0" distB="0" distL="0" distR="0" wp14:anchorId="46671FAD" wp14:editId="2A6D5A56">
            <wp:extent cx="6239933" cy="5554133"/>
            <wp:effectExtent l="0" t="0" r="0" b="0"/>
            <wp:docPr id="1073741825" name="officeArt object" descr="Picture 9"/>
            <wp:cNvGraphicFramePr/>
            <a:graphic xmlns:a="http://schemas.openxmlformats.org/drawingml/2006/main">
              <a:graphicData uri="http://schemas.openxmlformats.org/drawingml/2006/picture">
                <pic:pic xmlns:pic="http://schemas.openxmlformats.org/drawingml/2006/picture">
                  <pic:nvPicPr>
                    <pic:cNvPr id="1073741825" name="Picture 9" descr="Picture 9"/>
                    <pic:cNvPicPr>
                      <a:picLocks noChangeAspect="1"/>
                    </pic:cNvPicPr>
                  </pic:nvPicPr>
                  <pic:blipFill>
                    <a:blip r:embed="rId8" cstate="print">
                      <a:extLst>
                        <a:ext uri="{28A0092B-C50C-407E-A947-70E740481C1C}">
                          <a14:useLocalDpi xmlns:a14="http://schemas.microsoft.com/office/drawing/2010/main" val="0"/>
                        </a:ext>
                      </a:extLst>
                    </a:blip>
                    <a:srcRect t="31817"/>
                    <a:stretch>
                      <a:fillRect/>
                    </a:stretch>
                  </pic:blipFill>
                  <pic:spPr>
                    <a:xfrm>
                      <a:off x="0" y="0"/>
                      <a:ext cx="6350251" cy="5652326"/>
                    </a:xfrm>
                    <a:prstGeom prst="rect">
                      <a:avLst/>
                    </a:prstGeom>
                    <a:ln w="12700" cap="flat">
                      <a:noFill/>
                      <a:miter lim="400000"/>
                    </a:ln>
                    <a:effectLst/>
                  </pic:spPr>
                </pic:pic>
              </a:graphicData>
            </a:graphic>
          </wp:inline>
        </w:drawing>
      </w:r>
    </w:p>
    <w:p w14:paraId="45FDF833" w14:textId="19FBEBEF" w:rsidR="002766EC" w:rsidRPr="00630960" w:rsidRDefault="00000000" w:rsidP="00630960">
      <w:pPr>
        <w:pStyle w:val="BodyText"/>
        <w:spacing w:before="383"/>
        <w:ind w:right="1264"/>
        <w:rPr>
          <w:rFonts w:ascii="Calibri" w:eastAsia="Calibri" w:hAnsi="Calibri" w:cs="Calibri"/>
        </w:rPr>
      </w:pPr>
      <w:r>
        <w:rPr>
          <w:rFonts w:ascii="Calibri" w:hAnsi="Calibri"/>
          <w:b/>
          <w:bCs/>
        </w:rPr>
        <w:lastRenderedPageBreak/>
        <w:t>Device &amp; Software Integration</w:t>
      </w:r>
    </w:p>
    <w:p w14:paraId="3B27892E" w14:textId="77777777" w:rsidR="002766EC" w:rsidRDefault="002766EC">
      <w:pPr>
        <w:pStyle w:val="Body"/>
        <w:tabs>
          <w:tab w:val="left" w:pos="1440"/>
        </w:tabs>
        <w:ind w:right="1815"/>
        <w:rPr>
          <w:rFonts w:ascii="Calibri" w:eastAsia="Calibri" w:hAnsi="Calibri" w:cs="Calibri"/>
          <w:sz w:val="24"/>
          <w:szCs w:val="24"/>
        </w:rPr>
      </w:pPr>
    </w:p>
    <w:p w14:paraId="76C67C94" w14:textId="77777777" w:rsidR="002766EC" w:rsidRDefault="00000000">
      <w:pPr>
        <w:pStyle w:val="Body"/>
        <w:rPr>
          <w:rFonts w:ascii="Calibri" w:eastAsia="Calibri" w:hAnsi="Calibri" w:cs="Calibri"/>
          <w:sz w:val="24"/>
          <w:szCs w:val="24"/>
        </w:rPr>
      </w:pPr>
      <w:r>
        <w:rPr>
          <w:rFonts w:ascii="Calibri" w:hAnsi="Calibri"/>
          <w:sz w:val="24"/>
          <w:szCs w:val="24"/>
        </w:rPr>
        <w:t xml:space="preserve">Device and software integration, also known as interfacing, with a LIMS can be </w:t>
      </w:r>
      <w:proofErr w:type="spellStart"/>
      <w:r>
        <w:rPr>
          <w:rFonts w:ascii="Calibri" w:hAnsi="Calibri"/>
          <w:sz w:val="24"/>
          <w:szCs w:val="24"/>
        </w:rPr>
        <w:t>uni</w:t>
      </w:r>
      <w:proofErr w:type="spellEnd"/>
      <w:r>
        <w:rPr>
          <w:rFonts w:ascii="Calibri" w:hAnsi="Calibri"/>
          <w:sz w:val="24"/>
          <w:szCs w:val="24"/>
        </w:rPr>
        <w:t>-directional or bi-directional. Integration enables faster and more efficient:</w:t>
      </w:r>
    </w:p>
    <w:p w14:paraId="37A635EC" w14:textId="77777777" w:rsidR="002766EC" w:rsidRDefault="00000000">
      <w:pPr>
        <w:pStyle w:val="ListParagraph"/>
        <w:numPr>
          <w:ilvl w:val="0"/>
          <w:numId w:val="2"/>
        </w:numPr>
        <w:ind w:right="1815"/>
        <w:rPr>
          <w:rFonts w:ascii="Calibri" w:hAnsi="Calibri"/>
          <w:sz w:val="24"/>
          <w:szCs w:val="24"/>
        </w:rPr>
      </w:pPr>
      <w:r>
        <w:rPr>
          <w:rFonts w:ascii="Calibri" w:hAnsi="Calibri"/>
          <w:sz w:val="24"/>
          <w:szCs w:val="24"/>
        </w:rPr>
        <w:t>Data and information input/output management</w:t>
      </w:r>
    </w:p>
    <w:p w14:paraId="7E6F77D2" w14:textId="77777777" w:rsidR="002766EC" w:rsidRDefault="00000000">
      <w:pPr>
        <w:pStyle w:val="ListParagraph"/>
        <w:numPr>
          <w:ilvl w:val="0"/>
          <w:numId w:val="2"/>
        </w:numPr>
        <w:ind w:right="1815"/>
        <w:rPr>
          <w:rFonts w:ascii="Calibri" w:hAnsi="Calibri"/>
          <w:sz w:val="24"/>
          <w:szCs w:val="24"/>
        </w:rPr>
      </w:pPr>
      <w:r>
        <w:rPr>
          <w:rFonts w:ascii="Calibri" w:hAnsi="Calibri"/>
          <w:sz w:val="24"/>
          <w:szCs w:val="24"/>
        </w:rPr>
        <w:t>Workflow management</w:t>
      </w:r>
    </w:p>
    <w:p w14:paraId="1554B25F" w14:textId="77777777" w:rsidR="002766EC" w:rsidRDefault="00000000">
      <w:pPr>
        <w:pStyle w:val="ListParagraph"/>
        <w:numPr>
          <w:ilvl w:val="0"/>
          <w:numId w:val="2"/>
        </w:numPr>
        <w:ind w:right="1815"/>
        <w:rPr>
          <w:rFonts w:ascii="Calibri" w:hAnsi="Calibri"/>
          <w:sz w:val="24"/>
          <w:szCs w:val="24"/>
        </w:rPr>
      </w:pPr>
      <w:r>
        <w:rPr>
          <w:rFonts w:ascii="Calibri" w:hAnsi="Calibri"/>
          <w:sz w:val="24"/>
          <w:szCs w:val="24"/>
        </w:rPr>
        <w:t>Data analysis, visualization, and validation</w:t>
      </w:r>
    </w:p>
    <w:p w14:paraId="6D4B9C62" w14:textId="77777777" w:rsidR="002766EC" w:rsidRDefault="00000000">
      <w:pPr>
        <w:pStyle w:val="ListParagraph"/>
        <w:numPr>
          <w:ilvl w:val="0"/>
          <w:numId w:val="2"/>
        </w:numPr>
        <w:ind w:right="1815"/>
        <w:rPr>
          <w:rFonts w:ascii="Calibri" w:hAnsi="Calibri"/>
          <w:sz w:val="24"/>
          <w:szCs w:val="24"/>
        </w:rPr>
      </w:pPr>
      <w:r>
        <w:rPr>
          <w:rFonts w:ascii="Calibri" w:hAnsi="Calibri"/>
          <w:sz w:val="24"/>
          <w:szCs w:val="24"/>
        </w:rPr>
        <w:t>Regulatory compliance control</w:t>
      </w:r>
    </w:p>
    <w:p w14:paraId="08BB4C73" w14:textId="77777777" w:rsidR="002766EC" w:rsidRDefault="002766EC">
      <w:pPr>
        <w:pStyle w:val="ListParagraph"/>
        <w:tabs>
          <w:tab w:val="left" w:pos="1440"/>
        </w:tabs>
        <w:ind w:left="0" w:right="1815" w:firstLine="0"/>
        <w:rPr>
          <w:rFonts w:ascii="Calibri" w:eastAsia="Calibri" w:hAnsi="Calibri" w:cs="Calibri"/>
          <w:sz w:val="24"/>
          <w:szCs w:val="24"/>
        </w:rPr>
      </w:pPr>
    </w:p>
    <w:p w14:paraId="14707A2C" w14:textId="77777777" w:rsidR="002766EC" w:rsidRDefault="00000000">
      <w:pPr>
        <w:pStyle w:val="Body"/>
        <w:ind w:right="1815"/>
        <w:rPr>
          <w:rFonts w:ascii="Calibri" w:eastAsia="Calibri" w:hAnsi="Calibri" w:cs="Calibri"/>
          <w:sz w:val="24"/>
          <w:szCs w:val="24"/>
        </w:rPr>
      </w:pPr>
      <w:r>
        <w:rPr>
          <w:rFonts w:ascii="Calibri" w:hAnsi="Calibri"/>
          <w:sz w:val="24"/>
          <w:szCs w:val="24"/>
        </w:rPr>
        <w:t xml:space="preserve">Three examples of device and software integration are: </w:t>
      </w:r>
    </w:p>
    <w:p w14:paraId="3A0BABC6" w14:textId="77777777" w:rsidR="002766EC" w:rsidRDefault="00000000">
      <w:pPr>
        <w:pStyle w:val="ListParagraph"/>
        <w:numPr>
          <w:ilvl w:val="0"/>
          <w:numId w:val="4"/>
        </w:numPr>
        <w:rPr>
          <w:rFonts w:ascii="Calibri" w:hAnsi="Calibri"/>
          <w:sz w:val="24"/>
          <w:szCs w:val="24"/>
        </w:rPr>
      </w:pPr>
      <w:r>
        <w:rPr>
          <w:rFonts w:ascii="Calibri" w:hAnsi="Calibri"/>
          <w:sz w:val="24"/>
          <w:szCs w:val="24"/>
        </w:rPr>
        <w:t>electronic laboratory notebook (ELN), which serves as an alternative to paper notebooks</w:t>
      </w:r>
    </w:p>
    <w:p w14:paraId="6CC990D6" w14:textId="77777777" w:rsidR="002766EC" w:rsidRDefault="00000000">
      <w:pPr>
        <w:pStyle w:val="ListParagraph"/>
        <w:numPr>
          <w:ilvl w:val="0"/>
          <w:numId w:val="5"/>
        </w:numPr>
        <w:rPr>
          <w:rFonts w:ascii="Calibri" w:hAnsi="Calibri"/>
          <w:sz w:val="24"/>
          <w:szCs w:val="24"/>
        </w:rPr>
      </w:pPr>
      <w:r>
        <w:rPr>
          <w:rFonts w:ascii="Calibri" w:hAnsi="Calibri"/>
          <w:sz w:val="24"/>
          <w:szCs w:val="24"/>
        </w:rPr>
        <w:t>mobile applications, which allow wirelessly connected devices to securely connect to the LIMS when laboratory staff is in the field or offsite</w:t>
      </w:r>
    </w:p>
    <w:p w14:paraId="0BC64DA4" w14:textId="77777777" w:rsidR="002766EC" w:rsidRDefault="00000000">
      <w:pPr>
        <w:pStyle w:val="ListParagraph"/>
        <w:numPr>
          <w:ilvl w:val="0"/>
          <w:numId w:val="6"/>
        </w:numPr>
        <w:rPr>
          <w:rFonts w:ascii="Calibri" w:hAnsi="Calibri"/>
          <w:sz w:val="24"/>
          <w:szCs w:val="24"/>
        </w:rPr>
      </w:pPr>
      <w:r>
        <w:rPr>
          <w:rFonts w:ascii="Calibri" w:hAnsi="Calibri"/>
          <w:sz w:val="24"/>
          <w:szCs w:val="24"/>
        </w:rPr>
        <w:t>scientific data management system (SDMS), which is a data warehouse used for document</w:t>
      </w:r>
      <w:r>
        <w:rPr>
          <w:rFonts w:ascii="Calibri" w:eastAsia="Calibri" w:hAnsi="Calibri" w:cs="Calibri"/>
          <w:sz w:val="24"/>
          <w:szCs w:val="24"/>
        </w:rPr>
        <w:br/>
      </w:r>
      <w:r>
        <w:rPr>
          <w:rFonts w:ascii="Calibri" w:hAnsi="Calibri"/>
          <w:sz w:val="24"/>
          <w:szCs w:val="24"/>
        </w:rPr>
        <w:t xml:space="preserve">management </w:t>
      </w:r>
    </w:p>
    <w:p w14:paraId="519D55A2" w14:textId="77777777" w:rsidR="002766EC" w:rsidRDefault="002766EC">
      <w:pPr>
        <w:pStyle w:val="ListParagraph"/>
        <w:tabs>
          <w:tab w:val="left" w:pos="1440"/>
        </w:tabs>
        <w:ind w:left="0" w:right="1815" w:firstLine="0"/>
        <w:rPr>
          <w:rFonts w:ascii="Calibri" w:eastAsia="Calibri" w:hAnsi="Calibri" w:cs="Calibri"/>
          <w:sz w:val="24"/>
          <w:szCs w:val="24"/>
        </w:rPr>
      </w:pPr>
    </w:p>
    <w:p w14:paraId="1BEB0584" w14:textId="77777777" w:rsidR="002766EC" w:rsidRDefault="00000000">
      <w:pPr>
        <w:pStyle w:val="Body"/>
        <w:tabs>
          <w:tab w:val="left" w:pos="1440"/>
        </w:tabs>
        <w:ind w:right="1815"/>
        <w:rPr>
          <w:rFonts w:ascii="Calibri" w:eastAsia="Calibri" w:hAnsi="Calibri" w:cs="Calibri"/>
          <w:b/>
          <w:bCs/>
          <w:sz w:val="24"/>
          <w:szCs w:val="24"/>
        </w:rPr>
      </w:pPr>
      <w:r>
        <w:rPr>
          <w:rFonts w:ascii="Calibri" w:hAnsi="Calibri"/>
          <w:b/>
          <w:bCs/>
          <w:sz w:val="24"/>
          <w:szCs w:val="24"/>
        </w:rPr>
        <w:t>Interoperability &amp; Messaging</w:t>
      </w:r>
    </w:p>
    <w:p w14:paraId="223F4E61" w14:textId="77777777" w:rsidR="002766EC" w:rsidRDefault="002766EC">
      <w:pPr>
        <w:pStyle w:val="Body"/>
        <w:tabs>
          <w:tab w:val="left" w:pos="1440"/>
        </w:tabs>
        <w:ind w:right="1815"/>
        <w:rPr>
          <w:rFonts w:ascii="Calibri" w:eastAsia="Calibri" w:hAnsi="Calibri" w:cs="Calibri"/>
          <w:sz w:val="24"/>
          <w:szCs w:val="24"/>
        </w:rPr>
      </w:pPr>
    </w:p>
    <w:p w14:paraId="71AEA645" w14:textId="77777777" w:rsidR="002766EC" w:rsidRDefault="00000000">
      <w:pPr>
        <w:pStyle w:val="Body"/>
        <w:tabs>
          <w:tab w:val="left" w:pos="1440"/>
        </w:tabs>
        <w:ind w:right="1815"/>
        <w:rPr>
          <w:rFonts w:ascii="Calibri" w:eastAsia="Calibri" w:hAnsi="Calibri" w:cs="Calibri"/>
          <w:sz w:val="24"/>
          <w:szCs w:val="24"/>
        </w:rPr>
      </w:pPr>
      <w:r>
        <w:rPr>
          <w:rFonts w:ascii="Calibri" w:hAnsi="Calibri"/>
          <w:sz w:val="24"/>
          <w:szCs w:val="24"/>
        </w:rPr>
        <w:t>Interoperability: The ability for different information technology systems and software applications, regardless of their varying physical architecture and operating systems, to communicate, exchange data, and use the information that has been exchanged.</w:t>
      </w:r>
    </w:p>
    <w:p w14:paraId="542D8666" w14:textId="77777777" w:rsidR="002766EC" w:rsidRDefault="002766EC">
      <w:pPr>
        <w:pStyle w:val="Body"/>
        <w:tabs>
          <w:tab w:val="left" w:pos="1440"/>
        </w:tabs>
        <w:ind w:right="1815"/>
        <w:rPr>
          <w:rFonts w:ascii="Calibri" w:eastAsia="Calibri" w:hAnsi="Calibri" w:cs="Calibri"/>
          <w:sz w:val="24"/>
          <w:szCs w:val="24"/>
        </w:rPr>
      </w:pPr>
    </w:p>
    <w:p w14:paraId="7189CF18" w14:textId="77777777" w:rsidR="002766EC" w:rsidRDefault="00000000">
      <w:pPr>
        <w:pStyle w:val="Body"/>
        <w:tabs>
          <w:tab w:val="left" w:pos="1440"/>
        </w:tabs>
        <w:ind w:right="1815"/>
        <w:rPr>
          <w:rFonts w:ascii="Calibri" w:eastAsia="Calibri" w:hAnsi="Calibri" w:cs="Calibri"/>
          <w:sz w:val="24"/>
          <w:szCs w:val="24"/>
        </w:rPr>
      </w:pPr>
      <w:r>
        <w:rPr>
          <w:rFonts w:ascii="Calibri" w:hAnsi="Calibri"/>
          <w:sz w:val="24"/>
          <w:szCs w:val="24"/>
        </w:rPr>
        <w:t>LIMS interoperability and messaging help laboratories manage and share data securely with third-party applications and stakeholders, facilitating communication by creating and sending standardized messages through methods such as web portals, electronic test orders and results (ETOR), and electronic laboratory reporting (ELR).</w:t>
      </w:r>
    </w:p>
    <w:p w14:paraId="4EDAB5F7" w14:textId="77777777" w:rsidR="002766EC" w:rsidRDefault="002766EC">
      <w:pPr>
        <w:pStyle w:val="Body"/>
        <w:tabs>
          <w:tab w:val="left" w:pos="1440"/>
        </w:tabs>
        <w:ind w:right="1815"/>
        <w:rPr>
          <w:rFonts w:ascii="Calibri" w:eastAsia="Calibri" w:hAnsi="Calibri" w:cs="Calibri"/>
          <w:sz w:val="24"/>
          <w:szCs w:val="24"/>
        </w:rPr>
      </w:pPr>
    </w:p>
    <w:p w14:paraId="3783B473" w14:textId="77777777" w:rsidR="002766EC" w:rsidRDefault="00000000">
      <w:pPr>
        <w:pStyle w:val="Body"/>
        <w:tabs>
          <w:tab w:val="left" w:pos="1440"/>
        </w:tabs>
        <w:ind w:right="1815"/>
        <w:rPr>
          <w:rFonts w:ascii="Calibri" w:eastAsia="Calibri" w:hAnsi="Calibri" w:cs="Calibri"/>
          <w:b/>
          <w:bCs/>
          <w:sz w:val="24"/>
          <w:szCs w:val="24"/>
        </w:rPr>
      </w:pPr>
      <w:r>
        <w:rPr>
          <w:rFonts w:ascii="Calibri" w:hAnsi="Calibri"/>
          <w:b/>
          <w:bCs/>
          <w:sz w:val="24"/>
          <w:szCs w:val="24"/>
        </w:rPr>
        <w:t>Analytics, Visualization &amp; Reporting</w:t>
      </w:r>
    </w:p>
    <w:p w14:paraId="52AE72F2" w14:textId="77777777" w:rsidR="002766EC" w:rsidRDefault="002766EC">
      <w:pPr>
        <w:pStyle w:val="ListParagraph"/>
        <w:tabs>
          <w:tab w:val="left" w:pos="360"/>
        </w:tabs>
        <w:ind w:left="0" w:right="1815" w:firstLine="0"/>
        <w:rPr>
          <w:rFonts w:ascii="Calibri" w:eastAsia="Calibri" w:hAnsi="Calibri" w:cs="Calibri"/>
          <w:sz w:val="24"/>
          <w:szCs w:val="24"/>
        </w:rPr>
      </w:pPr>
    </w:p>
    <w:p w14:paraId="097C9F95" w14:textId="77777777" w:rsidR="002766EC" w:rsidRDefault="00000000">
      <w:pPr>
        <w:pStyle w:val="Body"/>
        <w:ind w:right="1815"/>
        <w:rPr>
          <w:rFonts w:ascii="Calibri" w:eastAsia="Calibri" w:hAnsi="Calibri" w:cs="Calibri"/>
          <w:sz w:val="24"/>
          <w:szCs w:val="24"/>
        </w:rPr>
      </w:pPr>
      <w:r>
        <w:rPr>
          <w:rFonts w:ascii="Calibri" w:hAnsi="Calibri"/>
          <w:sz w:val="24"/>
          <w:szCs w:val="24"/>
        </w:rPr>
        <w:t>The LIMS can provide numerous analytical, visualization, and reporting capabilities to facilitate:</w:t>
      </w:r>
    </w:p>
    <w:p w14:paraId="0D02DFAA" w14:textId="77777777" w:rsidR="002766EC" w:rsidRDefault="00000000">
      <w:pPr>
        <w:pStyle w:val="ListParagraph"/>
        <w:numPr>
          <w:ilvl w:val="0"/>
          <w:numId w:val="8"/>
        </w:numPr>
        <w:rPr>
          <w:rFonts w:ascii="Calibri" w:hAnsi="Calibri"/>
          <w:sz w:val="24"/>
          <w:szCs w:val="24"/>
        </w:rPr>
      </w:pPr>
      <w:r>
        <w:rPr>
          <w:rFonts w:ascii="Calibri" w:hAnsi="Calibri"/>
          <w:sz w:val="24"/>
          <w:szCs w:val="24"/>
        </w:rPr>
        <w:t>communication with patient care and public health partners</w:t>
      </w:r>
    </w:p>
    <w:p w14:paraId="424B29A4" w14:textId="77777777" w:rsidR="002766EC" w:rsidRDefault="00000000">
      <w:pPr>
        <w:pStyle w:val="ListParagraph"/>
        <w:numPr>
          <w:ilvl w:val="0"/>
          <w:numId w:val="8"/>
        </w:numPr>
        <w:rPr>
          <w:rFonts w:ascii="Calibri" w:hAnsi="Calibri"/>
          <w:sz w:val="24"/>
          <w:szCs w:val="24"/>
        </w:rPr>
      </w:pPr>
      <w:r>
        <w:rPr>
          <w:rFonts w:ascii="Calibri" w:hAnsi="Calibri"/>
          <w:sz w:val="24"/>
          <w:szCs w:val="24"/>
        </w:rPr>
        <w:t>the administrative and managerial functions needed to run the laboratory via enterprise resource planning (ERP)</w:t>
      </w:r>
    </w:p>
    <w:p w14:paraId="58894AD9" w14:textId="226C98CE" w:rsidR="002766EC" w:rsidRDefault="00000000">
      <w:pPr>
        <w:pStyle w:val="ListParagraph"/>
        <w:tabs>
          <w:tab w:val="left" w:pos="360"/>
        </w:tabs>
        <w:ind w:left="0" w:right="1815" w:firstLine="0"/>
        <w:rPr>
          <w:rFonts w:ascii="Calibri" w:eastAsia="Calibri" w:hAnsi="Calibri" w:cs="Calibri"/>
          <w:sz w:val="24"/>
          <w:szCs w:val="24"/>
        </w:rPr>
      </w:pPr>
      <w:r>
        <w:rPr>
          <w:rFonts w:ascii="Calibri" w:eastAsia="Calibri" w:hAnsi="Calibri" w:cs="Calibri"/>
          <w:sz w:val="24"/>
          <w:szCs w:val="24"/>
        </w:rPr>
        <w:br/>
      </w:r>
    </w:p>
    <w:p w14:paraId="3172588C" w14:textId="77777777" w:rsidR="00F601B1" w:rsidRDefault="00F601B1" w:rsidP="00F601B1">
      <w:pPr>
        <w:pStyle w:val="Body"/>
      </w:pPr>
      <w:r>
        <w:t xml:space="preserve">This job aid is a component of the free, on-demand CDC training course </w:t>
      </w:r>
      <w:r>
        <w:rPr>
          <w:rtl/>
          <w:lang w:val="ar-SA"/>
        </w:rPr>
        <w:t>“</w:t>
      </w:r>
      <w:r>
        <w:t xml:space="preserve">Introduction to the LIMS </w:t>
      </w:r>
      <w:r>
        <w:br/>
        <w:t>and Other Information Systems.” View our current courses</w:t>
      </w:r>
      <w:r>
        <w:rPr>
          <w:lang w:val="da-DK"/>
        </w:rPr>
        <w:t xml:space="preserve"> at</w:t>
      </w:r>
      <w:r>
        <w:t xml:space="preserve"> </w:t>
      </w:r>
      <w:hyperlink r:id="rId9" w:history="1">
        <w:r>
          <w:rPr>
            <w:rStyle w:val="Hyperlink0"/>
          </w:rPr>
          <w:t>https://reach.cdc.gov/training</w:t>
        </w:r>
      </w:hyperlink>
      <w:r>
        <w:t>.</w:t>
      </w:r>
    </w:p>
    <w:p w14:paraId="427584BF" w14:textId="0ABBBF71" w:rsidR="00F601B1" w:rsidRDefault="00F601B1">
      <w:pPr>
        <w:pStyle w:val="ListParagraph"/>
        <w:tabs>
          <w:tab w:val="left" w:pos="360"/>
        </w:tabs>
        <w:ind w:left="0" w:right="1815" w:firstLine="0"/>
        <w:rPr>
          <w:rFonts w:ascii="Calibri" w:eastAsia="Calibri" w:hAnsi="Calibri" w:cs="Calibri"/>
          <w:sz w:val="24"/>
          <w:szCs w:val="24"/>
        </w:rPr>
      </w:pPr>
    </w:p>
    <w:p w14:paraId="7E54CB35" w14:textId="5D928DBE" w:rsidR="002766EC" w:rsidRPr="00162B17" w:rsidRDefault="00F601B1" w:rsidP="00162B17">
      <w:pPr>
        <w:pStyle w:val="ListParagraph"/>
        <w:tabs>
          <w:tab w:val="left" w:pos="360"/>
        </w:tabs>
        <w:ind w:left="0" w:right="1815" w:firstLine="0"/>
        <w:rPr>
          <w:rFonts w:ascii="Calibri" w:eastAsia="Calibri" w:hAnsi="Calibri" w:cs="Calibri"/>
          <w:sz w:val="24"/>
          <w:szCs w:val="24"/>
        </w:rPr>
      </w:pPr>
      <w:r>
        <w:rPr>
          <w:rFonts w:ascii="Calibri" w:eastAsia="Calibri" w:hAnsi="Calibri" w:cs="Calibri"/>
          <w:sz w:val="24"/>
          <w:szCs w:val="24"/>
        </w:rPr>
        <w:t>v.23341</w:t>
      </w:r>
    </w:p>
    <w:sectPr w:rsidR="002766EC" w:rsidRPr="00162B17">
      <w:headerReference w:type="default" r:id="rId10"/>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DE57" w14:textId="77777777" w:rsidR="00DF0C1D" w:rsidRDefault="00DF0C1D">
      <w:r>
        <w:separator/>
      </w:r>
    </w:p>
  </w:endnote>
  <w:endnote w:type="continuationSeparator" w:id="0">
    <w:p w14:paraId="02C31081" w14:textId="77777777" w:rsidR="00DF0C1D" w:rsidRDefault="00DF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27D7" w14:textId="77777777" w:rsidR="00DF0C1D" w:rsidRDefault="00DF0C1D">
      <w:r>
        <w:separator/>
      </w:r>
    </w:p>
  </w:footnote>
  <w:footnote w:type="continuationSeparator" w:id="0">
    <w:p w14:paraId="1A198A83" w14:textId="77777777" w:rsidR="00DF0C1D" w:rsidRDefault="00DF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82C1" w14:textId="77777777" w:rsidR="00630960" w:rsidRDefault="00630960">
    <w:pPr>
      <w:pStyle w:val="Header"/>
    </w:pPr>
    <w:r>
      <w:t xml:space="preserve">          [Insert your agency information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5BD" w14:textId="77777777" w:rsidR="002766EC" w:rsidRDefault="002766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0F3"/>
    <w:multiLevelType w:val="hybridMultilevel"/>
    <w:tmpl w:val="5E14C020"/>
    <w:styleLink w:val="ImportedStyle1"/>
    <w:lvl w:ilvl="0" w:tplc="28EAE2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26923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5A0B58">
      <w:start w:val="1"/>
      <w:numFmt w:val="bullet"/>
      <w:lvlText w:val="▪"/>
      <w:lvlJc w:val="left"/>
      <w:pPr>
        <w:tabs>
          <w:tab w:val="left" w:pos="36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1863B2">
      <w:start w:val="1"/>
      <w:numFmt w:val="bullet"/>
      <w:lvlText w:val="·"/>
      <w:lvlJc w:val="left"/>
      <w:pPr>
        <w:tabs>
          <w:tab w:val="left" w:pos="36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2BA04">
      <w:start w:val="1"/>
      <w:numFmt w:val="bullet"/>
      <w:lvlText w:val="o"/>
      <w:lvlJc w:val="left"/>
      <w:pPr>
        <w:tabs>
          <w:tab w:val="left" w:pos="36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4723C">
      <w:start w:val="1"/>
      <w:numFmt w:val="bullet"/>
      <w:lvlText w:val="▪"/>
      <w:lvlJc w:val="left"/>
      <w:pPr>
        <w:tabs>
          <w:tab w:val="left" w:pos="36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63EDC">
      <w:start w:val="1"/>
      <w:numFmt w:val="bullet"/>
      <w:lvlText w:val="·"/>
      <w:lvlJc w:val="left"/>
      <w:pPr>
        <w:tabs>
          <w:tab w:val="left" w:pos="36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C693A">
      <w:start w:val="1"/>
      <w:numFmt w:val="bullet"/>
      <w:lvlText w:val="o"/>
      <w:lvlJc w:val="left"/>
      <w:pPr>
        <w:tabs>
          <w:tab w:val="left" w:pos="36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625042">
      <w:start w:val="1"/>
      <w:numFmt w:val="bullet"/>
      <w:lvlText w:val="▪"/>
      <w:lvlJc w:val="left"/>
      <w:pPr>
        <w:tabs>
          <w:tab w:val="left" w:pos="36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F528D"/>
    <w:multiLevelType w:val="hybridMultilevel"/>
    <w:tmpl w:val="812270BE"/>
    <w:styleLink w:val="ImportedStyle3"/>
    <w:lvl w:ilvl="0" w:tplc="9AA89236">
      <w:start w:val="1"/>
      <w:numFmt w:val="bullet"/>
      <w:lvlText w:val="‒"/>
      <w:lvlJc w:val="left"/>
      <w:pPr>
        <w:tabs>
          <w:tab w:val="left" w:pos="720"/>
        </w:tabs>
        <w:ind w:left="90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9EEE128">
      <w:start w:val="1"/>
      <w:numFmt w:val="bullet"/>
      <w:lvlText w:val="o"/>
      <w:lvlJc w:val="left"/>
      <w:pPr>
        <w:tabs>
          <w:tab w:val="left" w:pos="720"/>
        </w:tabs>
        <w:ind w:left="162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890D900">
      <w:start w:val="1"/>
      <w:numFmt w:val="bullet"/>
      <w:lvlText w:val="▪"/>
      <w:lvlJc w:val="left"/>
      <w:pPr>
        <w:tabs>
          <w:tab w:val="left" w:pos="720"/>
        </w:tabs>
        <w:ind w:left="234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70CA160">
      <w:start w:val="1"/>
      <w:numFmt w:val="bullet"/>
      <w:lvlText w:val="•"/>
      <w:lvlJc w:val="left"/>
      <w:pPr>
        <w:tabs>
          <w:tab w:val="left" w:pos="720"/>
        </w:tabs>
        <w:ind w:left="306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C22ACFC">
      <w:start w:val="1"/>
      <w:numFmt w:val="bullet"/>
      <w:lvlText w:val="o"/>
      <w:lvlJc w:val="left"/>
      <w:pPr>
        <w:tabs>
          <w:tab w:val="left" w:pos="720"/>
        </w:tabs>
        <w:ind w:left="378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6CC0D74">
      <w:start w:val="1"/>
      <w:numFmt w:val="bullet"/>
      <w:lvlText w:val="▪"/>
      <w:lvlJc w:val="left"/>
      <w:pPr>
        <w:tabs>
          <w:tab w:val="left" w:pos="720"/>
        </w:tabs>
        <w:ind w:left="450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01A4DEE">
      <w:start w:val="1"/>
      <w:numFmt w:val="bullet"/>
      <w:lvlText w:val="•"/>
      <w:lvlJc w:val="left"/>
      <w:pPr>
        <w:tabs>
          <w:tab w:val="left" w:pos="720"/>
        </w:tabs>
        <w:ind w:left="522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FDE0D34">
      <w:start w:val="1"/>
      <w:numFmt w:val="bullet"/>
      <w:lvlText w:val="o"/>
      <w:lvlJc w:val="left"/>
      <w:pPr>
        <w:tabs>
          <w:tab w:val="left" w:pos="720"/>
        </w:tabs>
        <w:ind w:left="594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45A053C">
      <w:start w:val="1"/>
      <w:numFmt w:val="bullet"/>
      <w:lvlText w:val="▪"/>
      <w:lvlJc w:val="left"/>
      <w:pPr>
        <w:tabs>
          <w:tab w:val="left" w:pos="720"/>
        </w:tabs>
        <w:ind w:left="666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BA0C71"/>
    <w:multiLevelType w:val="hybridMultilevel"/>
    <w:tmpl w:val="EAD0CB26"/>
    <w:styleLink w:val="ImportedStyle2"/>
    <w:lvl w:ilvl="0" w:tplc="FA28599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5A44206">
      <w:start w:val="1"/>
      <w:numFmt w:val="bullet"/>
      <w:lvlText w:val="o"/>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8FA1F52">
      <w:start w:val="1"/>
      <w:numFmt w:val="bullet"/>
      <w:lvlText w:val="▪"/>
      <w:lvlJc w:val="left"/>
      <w:pPr>
        <w:tabs>
          <w:tab w:val="left" w:pos="360"/>
        </w:tabs>
        <w:ind w:left="14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2A81EA6">
      <w:start w:val="1"/>
      <w:numFmt w:val="bullet"/>
      <w:lvlText w:val="•"/>
      <w:lvlJc w:val="left"/>
      <w:pPr>
        <w:tabs>
          <w:tab w:val="left" w:pos="360"/>
        </w:tabs>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92C9060">
      <w:start w:val="1"/>
      <w:numFmt w:val="bullet"/>
      <w:lvlText w:val="o"/>
      <w:lvlJc w:val="left"/>
      <w:pPr>
        <w:tabs>
          <w:tab w:val="left" w:pos="360"/>
        </w:tabs>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DA4EB8">
      <w:start w:val="1"/>
      <w:numFmt w:val="bullet"/>
      <w:lvlText w:val="▪"/>
      <w:lvlJc w:val="left"/>
      <w:pPr>
        <w:tabs>
          <w:tab w:val="left" w:pos="360"/>
        </w:tabs>
        <w:ind w:left="360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94608B8">
      <w:start w:val="1"/>
      <w:numFmt w:val="bullet"/>
      <w:lvlText w:val="•"/>
      <w:lvlJc w:val="left"/>
      <w:pPr>
        <w:tabs>
          <w:tab w:val="left" w:pos="360"/>
        </w:tabs>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9CCF3CE">
      <w:start w:val="1"/>
      <w:numFmt w:val="bullet"/>
      <w:lvlText w:val="o"/>
      <w:lvlJc w:val="left"/>
      <w:pPr>
        <w:tabs>
          <w:tab w:val="left" w:pos="360"/>
        </w:tabs>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05269E0">
      <w:start w:val="1"/>
      <w:numFmt w:val="bullet"/>
      <w:lvlText w:val="▪"/>
      <w:lvlJc w:val="left"/>
      <w:pPr>
        <w:tabs>
          <w:tab w:val="left" w:pos="360"/>
        </w:tabs>
        <w:ind w:left="57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F0129C"/>
    <w:multiLevelType w:val="hybridMultilevel"/>
    <w:tmpl w:val="812270BE"/>
    <w:numStyleLink w:val="ImportedStyle3"/>
  </w:abstractNum>
  <w:abstractNum w:abstractNumId="4" w15:restartNumberingAfterBreak="0">
    <w:nsid w:val="2C2E20D0"/>
    <w:multiLevelType w:val="hybridMultilevel"/>
    <w:tmpl w:val="EAD0CB26"/>
    <w:numStyleLink w:val="ImportedStyle2"/>
  </w:abstractNum>
  <w:abstractNum w:abstractNumId="5" w15:restartNumberingAfterBreak="0">
    <w:nsid w:val="6C0D70CB"/>
    <w:multiLevelType w:val="hybridMultilevel"/>
    <w:tmpl w:val="5E14C020"/>
    <w:numStyleLink w:val="ImportedStyle1"/>
  </w:abstractNum>
  <w:num w:numId="1" w16cid:durableId="1843816257">
    <w:abstractNumId w:val="0"/>
  </w:num>
  <w:num w:numId="2" w16cid:durableId="1586261107">
    <w:abstractNumId w:val="5"/>
  </w:num>
  <w:num w:numId="3" w16cid:durableId="630399408">
    <w:abstractNumId w:val="2"/>
  </w:num>
  <w:num w:numId="4" w16cid:durableId="389118204">
    <w:abstractNumId w:val="4"/>
  </w:num>
  <w:num w:numId="5" w16cid:durableId="78063295">
    <w:abstractNumId w:val="4"/>
    <w:lvlOverride w:ilvl="0">
      <w:lvl w:ilvl="0" w:tplc="150251C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30E926">
        <w:start w:val="1"/>
        <w:numFmt w:val="bullet"/>
        <w:lvlText w:val="o"/>
        <w:lvlJc w:val="left"/>
        <w:pPr>
          <w:tabs>
            <w:tab w:val="left" w:pos="360"/>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7CEFA0">
        <w:start w:val="1"/>
        <w:numFmt w:val="bullet"/>
        <w:lvlText w:val="▪"/>
        <w:lvlJc w:val="left"/>
        <w:pPr>
          <w:tabs>
            <w:tab w:val="left" w:pos="360"/>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C458E">
        <w:start w:val="1"/>
        <w:numFmt w:val="bullet"/>
        <w:lvlText w:val="•"/>
        <w:lvlJc w:val="left"/>
        <w:pPr>
          <w:tabs>
            <w:tab w:val="left" w:pos="360"/>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32B622">
        <w:start w:val="1"/>
        <w:numFmt w:val="bullet"/>
        <w:lvlText w:val="o"/>
        <w:lvlJc w:val="left"/>
        <w:pPr>
          <w:tabs>
            <w:tab w:val="left" w:pos="360"/>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CA18E4">
        <w:start w:val="1"/>
        <w:numFmt w:val="bullet"/>
        <w:lvlText w:val="▪"/>
        <w:lvlJc w:val="left"/>
        <w:pPr>
          <w:tabs>
            <w:tab w:val="left" w:pos="360"/>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4E9988">
        <w:start w:val="1"/>
        <w:numFmt w:val="bullet"/>
        <w:lvlText w:val="•"/>
        <w:lvlJc w:val="left"/>
        <w:pPr>
          <w:tabs>
            <w:tab w:val="left" w:pos="360"/>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A8408">
        <w:start w:val="1"/>
        <w:numFmt w:val="bullet"/>
        <w:lvlText w:val="o"/>
        <w:lvlJc w:val="left"/>
        <w:pPr>
          <w:tabs>
            <w:tab w:val="left" w:pos="360"/>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C237BE">
        <w:start w:val="1"/>
        <w:numFmt w:val="bullet"/>
        <w:lvlText w:val="▪"/>
        <w:lvlJc w:val="left"/>
        <w:pPr>
          <w:tabs>
            <w:tab w:val="left" w:pos="360"/>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368920770">
    <w:abstractNumId w:val="4"/>
    <w:lvlOverride w:ilvl="0">
      <w:lvl w:ilvl="0" w:tplc="150251CE">
        <w:start w:val="1"/>
        <w:numFmt w:val="bullet"/>
        <w:lvlText w:val="‒"/>
        <w:lvlJc w:val="left"/>
        <w:pPr>
          <w:tabs>
            <w:tab w:val="left" w:pos="7200"/>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30E926">
        <w:start w:val="1"/>
        <w:numFmt w:val="bullet"/>
        <w:lvlText w:val="o"/>
        <w:lvlJc w:val="left"/>
        <w:pPr>
          <w:tabs>
            <w:tab w:val="left" w:pos="360"/>
            <w:tab w:val="left" w:pos="7200"/>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7CEFA0">
        <w:start w:val="1"/>
        <w:numFmt w:val="bullet"/>
        <w:lvlText w:val="▪"/>
        <w:lvlJc w:val="left"/>
        <w:pPr>
          <w:tabs>
            <w:tab w:val="left" w:pos="360"/>
            <w:tab w:val="left" w:pos="7200"/>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5C458E">
        <w:start w:val="1"/>
        <w:numFmt w:val="bullet"/>
        <w:lvlText w:val="•"/>
        <w:lvlJc w:val="left"/>
        <w:pPr>
          <w:tabs>
            <w:tab w:val="left" w:pos="360"/>
            <w:tab w:val="left" w:pos="7200"/>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32B622">
        <w:start w:val="1"/>
        <w:numFmt w:val="bullet"/>
        <w:lvlText w:val="o"/>
        <w:lvlJc w:val="left"/>
        <w:pPr>
          <w:tabs>
            <w:tab w:val="left" w:pos="360"/>
            <w:tab w:val="left" w:pos="7200"/>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CA18E4">
        <w:start w:val="1"/>
        <w:numFmt w:val="bullet"/>
        <w:lvlText w:val="▪"/>
        <w:lvlJc w:val="left"/>
        <w:pPr>
          <w:tabs>
            <w:tab w:val="left" w:pos="360"/>
            <w:tab w:val="left" w:pos="7200"/>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4E9988">
        <w:start w:val="1"/>
        <w:numFmt w:val="bullet"/>
        <w:lvlText w:val="•"/>
        <w:lvlJc w:val="left"/>
        <w:pPr>
          <w:tabs>
            <w:tab w:val="left" w:pos="360"/>
            <w:tab w:val="left" w:pos="7200"/>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A8408">
        <w:start w:val="1"/>
        <w:numFmt w:val="bullet"/>
        <w:lvlText w:val="o"/>
        <w:lvlJc w:val="left"/>
        <w:pPr>
          <w:tabs>
            <w:tab w:val="left" w:pos="360"/>
            <w:tab w:val="left" w:pos="7200"/>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C237BE">
        <w:start w:val="1"/>
        <w:numFmt w:val="bullet"/>
        <w:lvlText w:val="▪"/>
        <w:lvlJc w:val="left"/>
        <w:pPr>
          <w:tabs>
            <w:tab w:val="left" w:pos="360"/>
            <w:tab w:val="left" w:pos="7200"/>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519852297">
    <w:abstractNumId w:val="1"/>
  </w:num>
  <w:num w:numId="8" w16cid:durableId="89686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EC"/>
    <w:rsid w:val="00162B17"/>
    <w:rsid w:val="002766EC"/>
    <w:rsid w:val="00630960"/>
    <w:rsid w:val="00DF0C1D"/>
    <w:rsid w:val="00F6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E379E"/>
  <w15:docId w15:val="{0A06C983-BD53-B34A-91FA-E4C538E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orbel" w:eastAsia="Corbel" w:hAnsi="Corbel" w:cs="Corbel"/>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Header">
    <w:name w:val="header"/>
    <w:pPr>
      <w:widowControl w:val="0"/>
      <w:tabs>
        <w:tab w:val="center" w:pos="4680"/>
        <w:tab w:val="right" w:pos="9360"/>
      </w:tabs>
    </w:pPr>
    <w:rPr>
      <w:rFonts w:ascii="Corbel" w:eastAsia="Corbel" w:hAnsi="Corbel" w:cs="Corbel"/>
      <w:color w:val="000000"/>
      <w:sz w:val="22"/>
      <w:szCs w:val="22"/>
      <w:u w:color="000000"/>
    </w:rPr>
  </w:style>
  <w:style w:type="paragraph" w:styleId="BodyText">
    <w:name w:val="Body Text"/>
    <w:pPr>
      <w:widowControl w:val="0"/>
    </w:pPr>
    <w:rPr>
      <w:rFonts w:ascii="Corbel" w:eastAsia="Corbel" w:hAnsi="Corbel" w:cs="Corbel"/>
      <w:color w:val="000000"/>
      <w:sz w:val="24"/>
      <w:szCs w:val="24"/>
      <w:u w:color="000000"/>
    </w:rPr>
  </w:style>
  <w:style w:type="paragraph" w:styleId="ListParagraph">
    <w:name w:val="List Paragraph"/>
    <w:pPr>
      <w:widowControl w:val="0"/>
      <w:ind w:left="2140" w:hanging="360"/>
    </w:pPr>
    <w:rPr>
      <w:rFonts w:ascii="Corbel" w:eastAsia="Corbel" w:hAnsi="Corbel" w:cs="Corbe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Footer">
    <w:name w:val="footer"/>
    <w:basedOn w:val="Normal"/>
    <w:link w:val="FooterChar"/>
    <w:uiPriority w:val="99"/>
    <w:unhideWhenUsed/>
    <w:rsid w:val="00F601B1"/>
    <w:pPr>
      <w:tabs>
        <w:tab w:val="center" w:pos="4680"/>
        <w:tab w:val="right" w:pos="9360"/>
      </w:tabs>
    </w:pPr>
  </w:style>
  <w:style w:type="character" w:customStyle="1" w:styleId="FooterChar">
    <w:name w:val="Footer Char"/>
    <w:basedOn w:val="DefaultParagraphFont"/>
    <w:link w:val="Footer"/>
    <w:uiPriority w:val="99"/>
    <w:rsid w:val="00F60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each.cdc.gov/traini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Cherie Baughn</cp:lastModifiedBy>
  <cp:revision>4</cp:revision>
  <dcterms:created xsi:type="dcterms:W3CDTF">2023-02-03T18:20:00Z</dcterms:created>
  <dcterms:modified xsi:type="dcterms:W3CDTF">2023-02-03T18:29:00Z</dcterms:modified>
</cp:coreProperties>
</file>