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D0A6" w14:textId="441D2B53" w:rsidR="00C43F02" w:rsidRPr="0016302D" w:rsidRDefault="00AC22B6" w:rsidP="0086361D">
      <w:pPr>
        <w:spacing w:line="556" w:lineRule="exact"/>
        <w:ind w:firstLine="400"/>
        <w:jc w:val="center"/>
        <w:rPr>
          <w:rFonts w:asciiTheme="minorHAnsi" w:hAnsiTheme="minorHAnsi" w:cstheme="minorHAnsi"/>
          <w:b/>
          <w:color w:val="4F81BD" w:themeColor="accent1"/>
          <w:sz w:val="48"/>
        </w:rPr>
      </w:pPr>
      <w:r w:rsidRPr="0016302D">
        <w:rPr>
          <w:rFonts w:asciiTheme="minorHAnsi" w:hAnsiTheme="minorHAnsi" w:cstheme="minorHAnsi"/>
          <w:b/>
          <w:color w:val="4F81BD" w:themeColor="accent1"/>
          <w:sz w:val="48"/>
        </w:rPr>
        <w:t>Incident Reporting</w:t>
      </w:r>
      <w:r w:rsidR="00527808" w:rsidRPr="0016302D">
        <w:rPr>
          <w:rFonts w:asciiTheme="minorHAnsi" w:hAnsiTheme="minorHAnsi" w:cstheme="minorHAnsi"/>
          <w:b/>
          <w:color w:val="4F81BD" w:themeColor="accent1"/>
          <w:sz w:val="48"/>
        </w:rPr>
        <w:t xml:space="preserve"> Job Aid</w:t>
      </w:r>
    </w:p>
    <w:p w14:paraId="7BB656E1" w14:textId="77777777" w:rsidR="00C43F02" w:rsidRPr="0016302D" w:rsidRDefault="00C43F02">
      <w:pPr>
        <w:pStyle w:val="BodyText"/>
        <w:spacing w:before="11"/>
        <w:rPr>
          <w:b/>
          <w:sz w:val="22"/>
          <w:szCs w:val="20"/>
        </w:rPr>
      </w:pPr>
    </w:p>
    <w:p w14:paraId="520F6656" w14:textId="5EB918D3" w:rsidR="00C43F02" w:rsidRPr="0016302D" w:rsidRDefault="006513E0">
      <w:pPr>
        <w:pStyle w:val="BodyText"/>
        <w:spacing w:before="6"/>
        <w:rPr>
          <w:sz w:val="28"/>
          <w:szCs w:val="28"/>
        </w:rPr>
      </w:pPr>
      <w:r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Exposure incidents in the laboratory can occur at any time. Knowing and practicing the proper response and reporting procedures for incidents involving </w:t>
      </w:r>
      <w:r w:rsidR="53FA908E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blood </w:t>
      </w:r>
      <w:r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and</w:t>
      </w:r>
      <w:r w:rsidR="0047755A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B30278" w:rsidRPr="0016302D">
        <w:rPr>
          <w:rStyle w:val="normaltextrun"/>
          <w:rFonts w:ascii="Calibri" w:hAnsi="Calibri" w:cs="Calibri"/>
          <w:color w:val="000000"/>
          <w:sz w:val="22"/>
          <w:szCs w:val="22"/>
        </w:rPr>
        <w:t>other potentially infectious materials</w:t>
      </w:r>
      <w:r w:rsidR="00B30278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53A76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OPIM</w:t>
      </w:r>
      <w:r w:rsidR="00753A76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</w:t>
      </w:r>
      <w:r w:rsidR="00313A2B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important</w:t>
      </w:r>
      <w:r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These procedures </w:t>
      </w:r>
      <w:r w:rsidR="0031432F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are described </w:t>
      </w:r>
      <w:r w:rsidR="00313A2B" w:rsidRPr="0016302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below.</w:t>
      </w:r>
    </w:p>
    <w:p w14:paraId="50D6A03F" w14:textId="41B64834" w:rsidR="00297909" w:rsidRPr="003A6CCD" w:rsidRDefault="005E1F57" w:rsidP="0016302D">
      <w:pPr>
        <w:keepNext/>
        <w:keepLines/>
        <w:spacing w:before="240"/>
        <w:outlineLvl w:val="0"/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</w:pPr>
      <w:r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 xml:space="preserve">Exposed Worker </w:t>
      </w:r>
      <w:r w:rsidR="52E20B2E"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>–</w:t>
      </w:r>
      <w:r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 xml:space="preserve"> </w:t>
      </w:r>
      <w:r w:rsidR="00297909"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>Immediate Exposure Incident Response</w:t>
      </w:r>
    </w:p>
    <w:p w14:paraId="54CE73A4" w14:textId="7C5941EB" w:rsidR="00297909" w:rsidRPr="00966920" w:rsidRDefault="00297909" w:rsidP="00297909">
      <w:pPr>
        <w:rPr>
          <w:rFonts w:asciiTheme="minorHAnsi" w:hAnsiTheme="minorHAnsi" w:cstheme="minorBidi"/>
        </w:rPr>
      </w:pPr>
      <w:r w:rsidRPr="66985A26">
        <w:rPr>
          <w:rFonts w:asciiTheme="minorHAnsi" w:hAnsiTheme="minorHAnsi" w:cstheme="minorBidi"/>
        </w:rPr>
        <w:t xml:space="preserve">Immediately following exposure, the exposed worker </w:t>
      </w:r>
      <w:r w:rsidR="00A5262C" w:rsidRPr="66985A26">
        <w:rPr>
          <w:rFonts w:asciiTheme="minorHAnsi" w:hAnsiTheme="minorHAnsi" w:cstheme="minorBidi"/>
        </w:rPr>
        <w:t>must</w:t>
      </w:r>
      <w:r w:rsidRPr="66985A26">
        <w:rPr>
          <w:rFonts w:asciiTheme="minorHAnsi" w:hAnsiTheme="minorHAnsi" w:cstheme="minorBidi"/>
        </w:rPr>
        <w:t xml:space="preserve">: </w:t>
      </w:r>
    </w:p>
    <w:p w14:paraId="0F3743DB" w14:textId="2AD0F677" w:rsidR="00297909" w:rsidRPr="0016302D" w:rsidRDefault="00297909" w:rsidP="66985A26">
      <w:pPr>
        <w:numPr>
          <w:ilvl w:val="0"/>
          <w:numId w:val="8"/>
        </w:numPr>
        <w:shd w:val="clear" w:color="auto" w:fill="FFFFFF" w:themeFill="background1"/>
        <w:spacing w:after="120"/>
        <w:rPr>
          <w:rFonts w:asciiTheme="minorHAnsi" w:eastAsia="Times New Roman" w:hAnsiTheme="minorHAnsi" w:cstheme="minorBidi"/>
          <w:color w:val="000000"/>
        </w:rPr>
      </w:pPr>
      <w:r w:rsidRPr="003A6CCD">
        <w:rPr>
          <w:rFonts w:asciiTheme="minorHAnsi" w:eastAsia="Times New Roman" w:hAnsiTheme="minorHAnsi" w:cstheme="minorBidi"/>
          <w:color w:val="365F91" w:themeColor="accent1" w:themeShade="BF"/>
        </w:rPr>
        <w:t>Need</w:t>
      </w:r>
      <w:r w:rsidR="00C019A1" w:rsidRPr="003A6CCD">
        <w:rPr>
          <w:rFonts w:asciiTheme="minorHAnsi" w:eastAsia="Times New Roman" w:hAnsiTheme="minorHAnsi" w:cstheme="minorBidi"/>
          <w:color w:val="365F91" w:themeColor="accent1" w:themeShade="BF"/>
        </w:rPr>
        <w:t>le</w:t>
      </w:r>
      <w:r w:rsidRPr="003A6CCD">
        <w:rPr>
          <w:rFonts w:asciiTheme="minorHAnsi" w:eastAsia="Times New Roman" w:hAnsiTheme="minorHAnsi" w:cstheme="minorBidi"/>
          <w:color w:val="365F91" w:themeColor="accent1" w:themeShade="BF"/>
        </w:rPr>
        <w:t xml:space="preserve">stick and Cut Exposures: 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 xml:space="preserve">Wash needlesticks and cuts with soap and water for </w:t>
      </w:r>
      <w:r w:rsidRPr="66985A26">
        <w:rPr>
          <w:rFonts w:asciiTheme="minorHAnsi" w:eastAsia="Times New Roman" w:hAnsiTheme="minorHAnsi" w:cstheme="minorBidi"/>
          <w:b/>
          <w:color w:val="000000" w:themeColor="text1"/>
        </w:rPr>
        <w:t>at least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Pr="66985A26">
        <w:rPr>
          <w:rFonts w:asciiTheme="minorHAnsi" w:eastAsia="Times New Roman" w:hAnsiTheme="minorHAnsi" w:cstheme="minorBidi"/>
          <w:b/>
          <w:color w:val="000000" w:themeColor="text1"/>
        </w:rPr>
        <w:t>15 minutes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>.</w:t>
      </w:r>
    </w:p>
    <w:p w14:paraId="5632E3E7" w14:textId="77777777" w:rsidR="00297909" w:rsidRPr="0016302D" w:rsidRDefault="00297909" w:rsidP="00297909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20" w:after="120"/>
        <w:rPr>
          <w:rFonts w:asciiTheme="minorHAnsi" w:eastAsia="Times New Roman" w:hAnsiTheme="minorHAnsi" w:cstheme="minorHAnsi"/>
          <w:color w:val="000000"/>
        </w:rPr>
      </w:pPr>
      <w:r w:rsidRPr="003A6CCD">
        <w:rPr>
          <w:rFonts w:asciiTheme="minorHAnsi" w:eastAsia="Times New Roman" w:hAnsiTheme="minorHAnsi" w:cstheme="minorBidi"/>
          <w:color w:val="365F91" w:themeColor="accent1" w:themeShade="BF"/>
        </w:rPr>
        <w:t>Splash Exposure:</w:t>
      </w:r>
      <w:r w:rsidRPr="0016302D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Pr="0016302D">
        <w:rPr>
          <w:rFonts w:asciiTheme="minorHAnsi" w:eastAsia="Times New Roman" w:hAnsiTheme="minorHAnsi" w:cstheme="minorHAnsi"/>
          <w:color w:val="000000"/>
        </w:rPr>
        <w:t xml:space="preserve">Flush splashes to the nose, mouth, or skin with water for </w:t>
      </w:r>
      <w:r w:rsidRPr="0016302D">
        <w:rPr>
          <w:rFonts w:asciiTheme="minorHAnsi" w:eastAsia="Times New Roman" w:hAnsiTheme="minorHAnsi" w:cstheme="minorHAnsi"/>
          <w:b/>
          <w:bCs/>
          <w:color w:val="000000"/>
        </w:rPr>
        <w:t>at least</w:t>
      </w:r>
      <w:r w:rsidRPr="0016302D">
        <w:rPr>
          <w:rFonts w:asciiTheme="minorHAnsi" w:eastAsia="Times New Roman" w:hAnsiTheme="minorHAnsi" w:cstheme="minorHAnsi"/>
          <w:color w:val="000000"/>
        </w:rPr>
        <w:t xml:space="preserve"> </w:t>
      </w:r>
      <w:r w:rsidRPr="0016302D">
        <w:rPr>
          <w:rFonts w:asciiTheme="minorHAnsi" w:eastAsia="Times New Roman" w:hAnsiTheme="minorHAnsi" w:cstheme="minorHAnsi"/>
          <w:b/>
          <w:bCs/>
          <w:color w:val="000000"/>
        </w:rPr>
        <w:t>15 minutes</w:t>
      </w:r>
      <w:r w:rsidRPr="0016302D">
        <w:rPr>
          <w:rFonts w:asciiTheme="minorHAnsi" w:eastAsia="Times New Roman" w:hAnsiTheme="minorHAnsi" w:cstheme="minorHAnsi"/>
          <w:color w:val="000000"/>
        </w:rPr>
        <w:t>.</w:t>
      </w:r>
    </w:p>
    <w:p w14:paraId="795DE95C" w14:textId="3D746A8A" w:rsidR="00297909" w:rsidRPr="0016302D" w:rsidRDefault="00297909" w:rsidP="66985A26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before="120" w:after="120"/>
        <w:rPr>
          <w:rFonts w:asciiTheme="minorHAnsi" w:eastAsia="Times New Roman" w:hAnsiTheme="minorHAnsi" w:cstheme="minorBidi"/>
          <w:color w:val="000000"/>
        </w:rPr>
      </w:pPr>
      <w:r w:rsidRPr="003A6CCD">
        <w:rPr>
          <w:rFonts w:asciiTheme="minorHAnsi" w:eastAsia="Times New Roman" w:hAnsiTheme="minorHAnsi" w:cstheme="minorBidi"/>
          <w:color w:val="365F91" w:themeColor="accent1" w:themeShade="BF"/>
        </w:rPr>
        <w:t xml:space="preserve">Eye Exposure: 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 xml:space="preserve">Irrigate eyes with clean water, saline, or sterile wash for </w:t>
      </w:r>
      <w:r w:rsidRPr="66985A26">
        <w:rPr>
          <w:rFonts w:asciiTheme="minorHAnsi" w:eastAsia="Times New Roman" w:hAnsiTheme="minorHAnsi" w:cstheme="minorBidi"/>
          <w:b/>
          <w:color w:val="000000" w:themeColor="text1"/>
        </w:rPr>
        <w:t>at least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Pr="66985A26">
        <w:rPr>
          <w:rFonts w:asciiTheme="minorHAnsi" w:eastAsia="Times New Roman" w:hAnsiTheme="minorHAnsi" w:cstheme="minorBidi"/>
          <w:b/>
          <w:color w:val="000000" w:themeColor="text1"/>
        </w:rPr>
        <w:t>15 minutes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>.</w:t>
      </w:r>
    </w:p>
    <w:p w14:paraId="76779840" w14:textId="59B31202" w:rsidR="001400ED" w:rsidRPr="0016302D" w:rsidRDefault="00297909" w:rsidP="66985A26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before="120" w:after="120"/>
        <w:rPr>
          <w:rFonts w:ascii="Calibri" w:hAnsi="Calibri" w:cs="Calibri"/>
          <w:b/>
          <w:color w:val="4F81BD" w:themeColor="accent1"/>
          <w:sz w:val="24"/>
          <w:szCs w:val="24"/>
        </w:rPr>
      </w:pPr>
      <w:r w:rsidRPr="003A6CCD">
        <w:rPr>
          <w:rFonts w:asciiTheme="minorHAnsi" w:eastAsia="Times New Roman" w:hAnsiTheme="minorHAnsi" w:cstheme="minorBidi"/>
          <w:color w:val="365F91" w:themeColor="accent1" w:themeShade="BF"/>
        </w:rPr>
        <w:t xml:space="preserve">All Exposures: </w:t>
      </w:r>
      <w:r w:rsidRPr="66985A26">
        <w:rPr>
          <w:rFonts w:asciiTheme="minorHAnsi" w:eastAsia="Times New Roman" w:hAnsiTheme="minorHAnsi" w:cstheme="minorBidi"/>
          <w:color w:val="000000" w:themeColor="text1"/>
        </w:rPr>
        <w:t>Promptly report all exposures to your supervisor to ensure that you receive appropriate follow-up care.</w:t>
      </w:r>
    </w:p>
    <w:p w14:paraId="22DC1E61" w14:textId="057FD0FD" w:rsidR="00A5262C" w:rsidRPr="003A6CCD" w:rsidRDefault="005E1F57" w:rsidP="0016302D">
      <w:pPr>
        <w:spacing w:before="240"/>
        <w:rPr>
          <w:rFonts w:ascii="Calibri" w:hAnsi="Calibri" w:cs="Calibri"/>
          <w:color w:val="365F91" w:themeColor="accent1" w:themeShade="BF"/>
        </w:rPr>
      </w:pPr>
      <w:r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 xml:space="preserve">Employer of Exposed Worker </w:t>
      </w:r>
      <w:r w:rsidR="683998BB"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>–</w:t>
      </w:r>
      <w:r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 xml:space="preserve"> </w:t>
      </w:r>
      <w:r w:rsidR="00297909"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>Post</w:t>
      </w:r>
      <w:r w:rsidR="00966920"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>e</w:t>
      </w:r>
      <w:r w:rsidR="00297909" w:rsidRPr="003A6CCD">
        <w:rPr>
          <w:rFonts w:asciiTheme="minorHAnsi" w:eastAsiaTheme="majorEastAsia" w:hAnsiTheme="minorHAnsi" w:cstheme="minorBidi"/>
          <w:color w:val="365F91" w:themeColor="accent1" w:themeShade="BF"/>
          <w:sz w:val="28"/>
          <w:szCs w:val="28"/>
        </w:rPr>
        <w:t>xposure Evaluation</w:t>
      </w:r>
    </w:p>
    <w:p w14:paraId="1B2F00BD" w14:textId="065BF2D3" w:rsidR="00A5679F" w:rsidRPr="0016302D" w:rsidRDefault="00A5679F" w:rsidP="00297909">
      <w:pPr>
        <w:rPr>
          <w:rFonts w:ascii="Calibri" w:hAnsi="Calibri" w:cs="Calibri"/>
          <w:color w:val="000000" w:themeColor="text1"/>
        </w:rPr>
      </w:pPr>
      <w:r w:rsidRPr="66985A26">
        <w:rPr>
          <w:rFonts w:ascii="Calibri" w:hAnsi="Calibri" w:cs="Calibri"/>
          <w:color w:val="000000" w:themeColor="text1"/>
        </w:rPr>
        <w:t xml:space="preserve">Following worker exposure and reporting, </w:t>
      </w:r>
      <w:r w:rsidR="51A3027F" w:rsidRPr="66985A26">
        <w:rPr>
          <w:rFonts w:ascii="Calibri" w:hAnsi="Calibri" w:cs="Calibri"/>
          <w:color w:val="000000" w:themeColor="text1"/>
        </w:rPr>
        <w:t xml:space="preserve">the employer </w:t>
      </w:r>
      <w:r w:rsidR="008066D2" w:rsidRPr="66985A26">
        <w:rPr>
          <w:rFonts w:ascii="Calibri" w:hAnsi="Calibri" w:cs="Calibri"/>
          <w:color w:val="000000" w:themeColor="text1"/>
        </w:rPr>
        <w:t>must:</w:t>
      </w:r>
    </w:p>
    <w:p w14:paraId="69A48A4B" w14:textId="4CE5738B" w:rsidR="00297909" w:rsidRPr="0016302D" w:rsidRDefault="30F57518" w:rsidP="66985A26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720"/>
        <w:rPr>
          <w:rFonts w:asciiTheme="minorHAnsi" w:eastAsia="Times New Roman" w:hAnsiTheme="minorHAnsi" w:cstheme="minorBidi"/>
          <w:color w:val="000000" w:themeColor="text1"/>
        </w:rPr>
      </w:pPr>
      <w:r w:rsidRPr="3CF182DA">
        <w:rPr>
          <w:rFonts w:asciiTheme="minorHAnsi" w:eastAsia="Times New Roman" w:hAnsiTheme="minorHAnsi" w:cstheme="minorBidi"/>
          <w:color w:val="000000" w:themeColor="text1"/>
        </w:rPr>
        <w:t>Ensure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an immediate</w:t>
      </w:r>
      <w:r w:rsidR="6DDFF888" w:rsidRPr="3CF182DA">
        <w:rPr>
          <w:rFonts w:asciiTheme="minorHAnsi" w:eastAsia="Times New Roman" w:hAnsiTheme="minorHAnsi" w:cstheme="minorBidi"/>
          <w:color w:val="000000" w:themeColor="text1"/>
        </w:rPr>
        <w:t>,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confidential medical evaluation and subsequent follow-up evaluation </w:t>
      </w:r>
      <w:r w:rsidR="3062D980" w:rsidRPr="3CF182DA">
        <w:rPr>
          <w:rFonts w:asciiTheme="minorHAnsi" w:eastAsia="Times New Roman" w:hAnsiTheme="minorHAnsi" w:cstheme="minorBidi"/>
          <w:color w:val="000000" w:themeColor="text1"/>
        </w:rPr>
        <w:t xml:space="preserve">are 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available to the exposed worker. </w:t>
      </w:r>
      <w:r w:rsidR="24A99873" w:rsidRPr="3CF182DA">
        <w:rPr>
          <w:rFonts w:asciiTheme="minorHAnsi" w:eastAsia="Times New Roman" w:hAnsiTheme="minorHAnsi" w:cstheme="minorBidi"/>
          <w:color w:val="000000" w:themeColor="text1"/>
        </w:rPr>
        <w:t xml:space="preserve">These 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>evaluation</w:t>
      </w:r>
      <w:r w:rsidR="520D6D83" w:rsidRPr="3CF182DA">
        <w:rPr>
          <w:rFonts w:asciiTheme="minorHAnsi" w:eastAsia="Times New Roman" w:hAnsiTheme="minorHAnsi" w:cstheme="minorBidi"/>
          <w:color w:val="000000" w:themeColor="text1"/>
        </w:rPr>
        <w:t>s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must be completed according to the following specifications:</w:t>
      </w:r>
    </w:p>
    <w:p w14:paraId="685A45BF" w14:textId="79E82A0A" w:rsidR="00297909" w:rsidRPr="0016302D" w:rsidRDefault="77A74036" w:rsidP="66985A26">
      <w:pPr>
        <w:widowControl/>
        <w:numPr>
          <w:ilvl w:val="1"/>
          <w:numId w:val="5"/>
        </w:numPr>
        <w:shd w:val="clear" w:color="auto" w:fill="FFFFFF" w:themeFill="background1"/>
        <w:autoSpaceDE/>
        <w:autoSpaceDN/>
        <w:rPr>
          <w:rFonts w:asciiTheme="minorHAnsi" w:eastAsia="Times New Roman" w:hAnsiTheme="minorHAnsi" w:cstheme="minorBidi"/>
          <w:color w:val="000000" w:themeColor="text1"/>
        </w:rPr>
      </w:pPr>
      <w:r w:rsidRPr="66985A26">
        <w:rPr>
          <w:rFonts w:asciiTheme="minorHAnsi" w:eastAsia="Times New Roman" w:hAnsiTheme="minorHAnsi" w:cstheme="minorBidi"/>
          <w:color w:val="000000" w:themeColor="text1"/>
        </w:rPr>
        <w:t>A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t no cost to the worker</w:t>
      </w:r>
    </w:p>
    <w:p w14:paraId="6A329CCE" w14:textId="0A0646F5" w:rsidR="00297909" w:rsidRPr="0016302D" w:rsidRDefault="03FEED0B" w:rsidP="66985A26">
      <w:pPr>
        <w:widowControl/>
        <w:numPr>
          <w:ilvl w:val="1"/>
          <w:numId w:val="5"/>
        </w:numPr>
        <w:shd w:val="clear" w:color="auto" w:fill="FFFFFF" w:themeFill="background1"/>
        <w:autoSpaceDE/>
        <w:autoSpaceDN/>
        <w:spacing w:before="100" w:beforeAutospacing="1"/>
        <w:rPr>
          <w:rFonts w:asciiTheme="minorHAnsi" w:eastAsia="Times New Roman" w:hAnsiTheme="minorHAnsi" w:cstheme="minorBidi"/>
          <w:color w:val="000000" w:themeColor="text1"/>
        </w:rPr>
      </w:pPr>
      <w:r w:rsidRPr="66985A26">
        <w:rPr>
          <w:rFonts w:asciiTheme="minorHAnsi" w:eastAsia="Times New Roman" w:hAnsiTheme="minorHAnsi" w:cstheme="minorBidi"/>
          <w:color w:val="000000" w:themeColor="text1"/>
        </w:rPr>
        <w:t>A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t a time and place that is reasonably convenient for the worker</w:t>
      </w:r>
    </w:p>
    <w:p w14:paraId="32B684AC" w14:textId="3F29A8C1" w:rsidR="00297909" w:rsidRPr="0016302D" w:rsidRDefault="1D5022C1" w:rsidP="66985A26">
      <w:pPr>
        <w:widowControl/>
        <w:numPr>
          <w:ilvl w:val="1"/>
          <w:numId w:val="5"/>
        </w:numPr>
        <w:shd w:val="clear" w:color="auto" w:fill="FFFFFF" w:themeFill="background1"/>
        <w:autoSpaceDE/>
        <w:autoSpaceDN/>
        <w:spacing w:before="100" w:beforeAutospacing="1"/>
        <w:rPr>
          <w:rFonts w:asciiTheme="minorHAnsi" w:eastAsia="Times New Roman" w:hAnsiTheme="minorHAnsi" w:cstheme="minorBidi"/>
          <w:color w:val="000000" w:themeColor="text1"/>
        </w:rPr>
      </w:pPr>
      <w:r w:rsidRPr="66985A26">
        <w:rPr>
          <w:rFonts w:asciiTheme="minorHAnsi" w:eastAsia="Times New Roman" w:hAnsiTheme="minorHAnsi" w:cstheme="minorBidi"/>
          <w:color w:val="000000" w:themeColor="text1"/>
        </w:rPr>
        <w:t>U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nder the supervision of a licensed physician or other licensed healthcare professional</w:t>
      </w:r>
    </w:p>
    <w:p w14:paraId="1F0C7B4D" w14:textId="7F8D3660" w:rsidR="00297909" w:rsidRPr="0016302D" w:rsidRDefault="31868939" w:rsidP="66985A26">
      <w:pPr>
        <w:widowControl/>
        <w:numPr>
          <w:ilvl w:val="1"/>
          <w:numId w:val="5"/>
        </w:numPr>
        <w:shd w:val="clear" w:color="auto" w:fill="FFFFFF" w:themeFill="background1"/>
        <w:autoSpaceDE/>
        <w:autoSpaceDN/>
        <w:spacing w:before="100" w:beforeAutospacing="1"/>
        <w:rPr>
          <w:rFonts w:asciiTheme="minorHAnsi" w:eastAsia="Times New Roman" w:hAnsiTheme="minorHAnsi" w:cstheme="minorBidi"/>
          <w:color w:val="000000" w:themeColor="text1"/>
        </w:rPr>
      </w:pPr>
      <w:r w:rsidRPr="66985A26">
        <w:rPr>
          <w:rFonts w:asciiTheme="minorHAnsi" w:eastAsia="Times New Roman" w:hAnsiTheme="minorHAnsi" w:cstheme="minorBidi"/>
          <w:color w:val="000000" w:themeColor="text1"/>
        </w:rPr>
        <w:t>A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ccording to the recommendations of the U</w:t>
      </w:r>
      <w:r w:rsidR="42A3D23C" w:rsidRPr="66985A26">
        <w:rPr>
          <w:rFonts w:asciiTheme="minorHAnsi" w:eastAsia="Times New Roman" w:hAnsiTheme="minorHAnsi" w:cstheme="minorBidi"/>
          <w:color w:val="000000" w:themeColor="text1"/>
        </w:rPr>
        <w:t>.S.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 xml:space="preserve"> Public Health Service (USPHS) at the time the procedures take </w:t>
      </w:r>
      <w:proofErr w:type="gramStart"/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place</w:t>
      </w:r>
      <w:proofErr w:type="gramEnd"/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 xml:space="preserve"> </w:t>
      </w:r>
    </w:p>
    <w:p w14:paraId="3CE2F105" w14:textId="0B03C2E9" w:rsidR="00297909" w:rsidRPr="0016302D" w:rsidRDefault="002B15E5" w:rsidP="00297909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20" w:after="120"/>
        <w:rPr>
          <w:rFonts w:asciiTheme="minorHAnsi" w:eastAsia="Times New Roman" w:hAnsiTheme="minorHAnsi" w:cstheme="minorHAnsi"/>
          <w:color w:val="000000" w:themeColor="text1"/>
        </w:rPr>
      </w:pPr>
      <w:r w:rsidRPr="0016302D">
        <w:rPr>
          <w:rFonts w:asciiTheme="minorHAnsi" w:eastAsia="Times New Roman" w:hAnsiTheme="minorHAnsi" w:cstheme="minorHAnsi"/>
          <w:color w:val="000000" w:themeColor="text1"/>
        </w:rPr>
        <w:t xml:space="preserve">Offer </w:t>
      </w:r>
      <w:r w:rsidR="00D65CB1" w:rsidRPr="0016302D">
        <w:rPr>
          <w:rFonts w:asciiTheme="minorHAnsi" w:eastAsia="Times New Roman" w:hAnsiTheme="minorHAnsi" w:cstheme="minorHAnsi"/>
          <w:color w:val="000000" w:themeColor="text1"/>
        </w:rPr>
        <w:t>the exposed worker</w:t>
      </w:r>
      <w:r w:rsidR="00893774" w:rsidRPr="0016302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16302D">
        <w:rPr>
          <w:rFonts w:asciiTheme="minorHAnsi" w:eastAsia="Times New Roman" w:hAnsiTheme="minorHAnsi" w:cstheme="minorHAnsi"/>
          <w:color w:val="000000" w:themeColor="text1"/>
        </w:rPr>
        <w:t>p</w:t>
      </w:r>
      <w:r w:rsidR="00297909" w:rsidRPr="0016302D">
        <w:rPr>
          <w:rFonts w:asciiTheme="minorHAnsi" w:eastAsia="Times New Roman" w:hAnsiTheme="minorHAnsi" w:cstheme="minorHAnsi"/>
          <w:color w:val="000000" w:themeColor="text1"/>
        </w:rPr>
        <w:t>ostexposure prophylaxis for HBV, HCV, and HIV, when medically indicated, according to the recommendations of the USPHS.</w:t>
      </w:r>
    </w:p>
    <w:p w14:paraId="6945218F" w14:textId="2927132B" w:rsidR="00297909" w:rsidRPr="0016302D" w:rsidRDefault="00E30CAD" w:rsidP="66985A26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before="120" w:after="120"/>
        <w:rPr>
          <w:rFonts w:asciiTheme="minorHAnsi" w:eastAsia="Times New Roman" w:hAnsiTheme="minorHAnsi" w:cstheme="minorBidi"/>
          <w:color w:val="000000" w:themeColor="text1"/>
        </w:rPr>
      </w:pPr>
      <w:r w:rsidRPr="3CF182DA">
        <w:rPr>
          <w:rFonts w:asciiTheme="minorHAnsi" w:eastAsia="Times New Roman" w:hAnsiTheme="minorHAnsi" w:cstheme="minorBidi"/>
          <w:color w:val="000000" w:themeColor="text1"/>
        </w:rPr>
        <w:t xml:space="preserve">Offer </w:t>
      </w:r>
      <w:r w:rsidR="00CB12F4" w:rsidRPr="3CF182DA">
        <w:rPr>
          <w:rFonts w:asciiTheme="minorHAnsi" w:eastAsia="Times New Roman" w:hAnsiTheme="minorHAnsi" w:cstheme="minorBidi"/>
          <w:color w:val="000000" w:themeColor="text1"/>
        </w:rPr>
        <w:t xml:space="preserve">a </w:t>
      </w:r>
      <w:r w:rsidRPr="3CF182DA">
        <w:rPr>
          <w:rFonts w:asciiTheme="minorHAnsi" w:eastAsia="Times New Roman" w:hAnsiTheme="minorHAnsi" w:cstheme="minorBidi"/>
          <w:color w:val="000000" w:themeColor="text1"/>
        </w:rPr>
        <w:t>p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ostexposure follow-up </w:t>
      </w:r>
      <w:r w:rsidR="00CB12F4" w:rsidRPr="3CF182DA">
        <w:rPr>
          <w:rFonts w:asciiTheme="minorHAnsi" w:eastAsia="Times New Roman" w:hAnsiTheme="minorHAnsi" w:cstheme="minorBidi"/>
          <w:color w:val="000000" w:themeColor="text1"/>
        </w:rPr>
        <w:t xml:space="preserve">that 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>include</w:t>
      </w:r>
      <w:r w:rsidR="2255E4B0" w:rsidRPr="3CF182DA">
        <w:rPr>
          <w:rFonts w:asciiTheme="minorHAnsi" w:eastAsia="Times New Roman" w:hAnsiTheme="minorHAnsi" w:cstheme="minorBidi"/>
          <w:color w:val="000000" w:themeColor="text1"/>
        </w:rPr>
        <w:t>s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counseling the worker about </w:t>
      </w:r>
      <w:r w:rsidR="6E992663" w:rsidRPr="3CF182DA">
        <w:rPr>
          <w:rFonts w:asciiTheme="minorHAnsi" w:eastAsia="Times New Roman" w:hAnsiTheme="minorHAnsi" w:cstheme="minorBidi"/>
          <w:color w:val="000000" w:themeColor="text1"/>
        </w:rPr>
        <w:t xml:space="preserve">their infection status and 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>the possible implications of the exposure</w:t>
      </w:r>
      <w:r w:rsidR="00193C36" w:rsidRPr="3CF182DA">
        <w:rPr>
          <w:rFonts w:asciiTheme="minorHAnsi" w:eastAsia="Times New Roman" w:hAnsiTheme="minorHAnsi" w:cstheme="minorBidi"/>
          <w:color w:val="000000" w:themeColor="text1"/>
        </w:rPr>
        <w:t>. Counseling should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="0047703B" w:rsidRPr="3CF182DA">
        <w:rPr>
          <w:rFonts w:asciiTheme="minorHAnsi" w:eastAsia="Times New Roman" w:hAnsiTheme="minorHAnsi" w:cstheme="minorBidi"/>
          <w:color w:val="000000" w:themeColor="text1"/>
        </w:rPr>
        <w:t>address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test results and interpretation</w:t>
      </w:r>
      <w:r w:rsidR="007D76E1" w:rsidRPr="3CF182DA">
        <w:rPr>
          <w:rFonts w:asciiTheme="minorHAnsi" w:eastAsia="Times New Roman" w:hAnsiTheme="minorHAnsi" w:cstheme="minorBidi"/>
          <w:color w:val="000000" w:themeColor="text1"/>
        </w:rPr>
        <w:t>s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, </w:t>
      </w:r>
      <w:r w:rsidR="00426561" w:rsidRPr="3CF182DA">
        <w:rPr>
          <w:rFonts w:asciiTheme="minorHAnsi" w:eastAsia="Times New Roman" w:hAnsiTheme="minorHAnsi" w:cstheme="minorBidi"/>
          <w:color w:val="000000" w:themeColor="text1"/>
        </w:rPr>
        <w:t xml:space="preserve">along with </w:t>
      </w:r>
      <w:r w:rsidR="770ECAF5" w:rsidRPr="3CF182DA">
        <w:rPr>
          <w:rFonts w:asciiTheme="minorHAnsi" w:eastAsia="Times New Roman" w:hAnsiTheme="minorHAnsi" w:cstheme="minorBidi"/>
          <w:color w:val="000000" w:themeColor="text1"/>
        </w:rPr>
        <w:t xml:space="preserve">information on how to </w:t>
      </w:r>
      <w:r w:rsidR="00426561" w:rsidRPr="3CF182DA">
        <w:rPr>
          <w:rFonts w:asciiTheme="minorHAnsi" w:eastAsia="Times New Roman" w:hAnsiTheme="minorHAnsi" w:cstheme="minorBidi"/>
          <w:color w:val="000000" w:themeColor="text1"/>
        </w:rPr>
        <w:t>protect</w:t>
      </w:r>
      <w:r w:rsidR="00297909" w:rsidRPr="3CF182DA">
        <w:rPr>
          <w:rFonts w:asciiTheme="minorHAnsi" w:eastAsia="Times New Roman" w:hAnsiTheme="minorHAnsi" w:cstheme="minorBidi"/>
          <w:color w:val="000000" w:themeColor="text1"/>
        </w:rPr>
        <w:t xml:space="preserve"> personal contacts.</w:t>
      </w:r>
    </w:p>
    <w:p w14:paraId="16CC9BA3" w14:textId="652BBD58" w:rsidR="00AC268A" w:rsidRDefault="0067320F" w:rsidP="66985A26">
      <w:pPr>
        <w:widowControl/>
        <w:numPr>
          <w:ilvl w:val="0"/>
          <w:numId w:val="6"/>
        </w:numPr>
        <w:shd w:val="clear" w:color="auto" w:fill="FFFFFF" w:themeFill="background1"/>
        <w:spacing w:before="120" w:after="120"/>
        <w:rPr>
          <w:rFonts w:asciiTheme="minorHAnsi" w:eastAsia="Times New Roman" w:hAnsiTheme="minorHAnsi" w:cstheme="minorBidi"/>
          <w:color w:val="000000" w:themeColor="text1"/>
        </w:rPr>
      </w:pPr>
      <w:r w:rsidRPr="66985A26">
        <w:rPr>
          <w:rFonts w:asciiTheme="minorHAnsi" w:eastAsia="Times New Roman" w:hAnsiTheme="minorHAnsi" w:cstheme="minorBidi"/>
          <w:color w:val="000000" w:themeColor="text1"/>
        </w:rPr>
        <w:t xml:space="preserve">Perform a </w:t>
      </w:r>
      <w:r w:rsidR="00F47371" w:rsidRPr="66985A26">
        <w:rPr>
          <w:rFonts w:asciiTheme="minorHAnsi" w:eastAsia="Times New Roman" w:hAnsiTheme="minorHAnsi" w:cstheme="minorBidi"/>
          <w:color w:val="000000" w:themeColor="text1"/>
        </w:rPr>
        <w:t>f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 xml:space="preserve">ollow-up </w:t>
      </w:r>
      <w:r w:rsidR="00F47371" w:rsidRPr="66985A26">
        <w:rPr>
          <w:rFonts w:asciiTheme="minorHAnsi" w:eastAsia="Times New Roman" w:hAnsiTheme="minorHAnsi" w:cstheme="minorBidi"/>
          <w:color w:val="000000" w:themeColor="text1"/>
        </w:rPr>
        <w:t xml:space="preserve">that 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include</w:t>
      </w:r>
      <w:r w:rsidR="74FFBCC7" w:rsidRPr="66985A26">
        <w:rPr>
          <w:rFonts w:asciiTheme="minorHAnsi" w:eastAsia="Times New Roman" w:hAnsiTheme="minorHAnsi" w:cstheme="minorBidi"/>
          <w:color w:val="000000" w:themeColor="text1"/>
        </w:rPr>
        <w:t>s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="003F5C4E" w:rsidRPr="66985A26">
        <w:rPr>
          <w:rFonts w:asciiTheme="minorHAnsi" w:eastAsia="Times New Roman" w:hAnsiTheme="minorHAnsi" w:cstheme="minorBidi"/>
          <w:color w:val="000000" w:themeColor="text1"/>
        </w:rPr>
        <w:t xml:space="preserve">an 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>evaluation of reported illnesses that m</w:t>
      </w:r>
      <w:r w:rsidR="51C60EE8" w:rsidRPr="66985A26">
        <w:rPr>
          <w:rFonts w:asciiTheme="minorHAnsi" w:eastAsia="Times New Roman" w:hAnsiTheme="minorHAnsi" w:cstheme="minorBidi"/>
          <w:color w:val="000000" w:themeColor="text1"/>
        </w:rPr>
        <w:t>ight</w:t>
      </w:r>
      <w:r w:rsidR="00297909" w:rsidRPr="66985A26">
        <w:rPr>
          <w:rFonts w:asciiTheme="minorHAnsi" w:eastAsia="Times New Roman" w:hAnsiTheme="minorHAnsi" w:cstheme="minorBidi"/>
          <w:color w:val="000000" w:themeColor="text1"/>
        </w:rPr>
        <w:t xml:space="preserve"> be related to exposure.</w:t>
      </w:r>
    </w:p>
    <w:p w14:paraId="2D59BD04" w14:textId="404D07FD" w:rsidR="66985A26" w:rsidRDefault="66985A26" w:rsidP="66985A26">
      <w:pPr>
        <w:widowControl/>
        <w:shd w:val="clear" w:color="auto" w:fill="FFFFFF" w:themeFill="background1"/>
        <w:spacing w:before="120" w:after="120"/>
        <w:rPr>
          <w:rFonts w:asciiTheme="minorHAnsi" w:eastAsia="Times New Roman" w:hAnsiTheme="minorHAnsi" w:cstheme="minorBidi"/>
          <w:color w:val="000000" w:themeColor="text1"/>
        </w:rPr>
      </w:pPr>
    </w:p>
    <w:p w14:paraId="370B17F6" w14:textId="314E2062" w:rsidR="00C62F41" w:rsidRDefault="00C62F41" w:rsidP="66985A26">
      <w:pPr>
        <w:widowControl/>
        <w:shd w:val="clear" w:color="auto" w:fill="FFFFFF" w:themeFill="background1"/>
        <w:spacing w:before="120" w:after="120"/>
        <w:rPr>
          <w:rFonts w:asciiTheme="minorHAnsi" w:eastAsia="Times New Roman" w:hAnsiTheme="minorHAnsi" w:cstheme="minorBidi"/>
          <w:color w:val="000000" w:themeColor="text1"/>
        </w:rPr>
      </w:pPr>
    </w:p>
    <w:p w14:paraId="46ECEF18" w14:textId="074DE61F" w:rsidR="00297909" w:rsidRPr="0016302D" w:rsidRDefault="41A9A712" w:rsidP="66985A26">
      <w:pPr>
        <w:rPr>
          <w:rFonts w:asciiTheme="minorHAnsi" w:eastAsiaTheme="minorEastAsia" w:hAnsiTheme="minorHAnsi" w:cstheme="minorBidi"/>
          <w:sz w:val="18"/>
          <w:szCs w:val="18"/>
        </w:rPr>
      </w:pPr>
      <w:r w:rsidRPr="66985A26">
        <w:rPr>
          <w:rFonts w:asciiTheme="minorHAnsi" w:eastAsiaTheme="minorEastAsia" w:hAnsiTheme="minorHAnsi" w:cstheme="minorBidi"/>
          <w:sz w:val="18"/>
          <w:szCs w:val="18"/>
        </w:rPr>
        <w:t>References</w:t>
      </w:r>
      <w:r w:rsidR="00297909" w:rsidRPr="66985A26">
        <w:rPr>
          <w:rFonts w:asciiTheme="minorHAnsi" w:eastAsiaTheme="minorEastAsia" w:hAnsiTheme="minorHAnsi" w:cstheme="minorBidi"/>
          <w:sz w:val="18"/>
          <w:szCs w:val="18"/>
        </w:rPr>
        <w:t>:</w:t>
      </w:r>
    </w:p>
    <w:p w14:paraId="108097A1" w14:textId="67754176" w:rsidR="48103D76" w:rsidRDefault="48103D76" w:rsidP="66985A26">
      <w:pPr>
        <w:rPr>
          <w:rFonts w:asciiTheme="minorHAnsi" w:eastAsiaTheme="minorEastAsia" w:hAnsiTheme="minorHAnsi" w:cstheme="minorBidi"/>
          <w:sz w:val="18"/>
          <w:szCs w:val="18"/>
        </w:rPr>
      </w:pPr>
      <w:r w:rsidRPr="66985A26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Bloodborne Pathogen Exposure. National Institute for Occupational Safety and Health, Centers for Disease Control and Prevention; 2007-157. Updated June 6, 2014. Accessed February 16, 2024. </w:t>
      </w:r>
      <w:hyperlink r:id="rId11">
        <w:r w:rsidRPr="66985A26">
          <w:rPr>
            <w:rStyle w:val="Hyperlink"/>
            <w:rFonts w:asciiTheme="minorHAnsi" w:eastAsiaTheme="minorEastAsia" w:hAnsiTheme="minorHAnsi" w:cstheme="minorBidi"/>
            <w:sz w:val="18"/>
            <w:szCs w:val="18"/>
          </w:rPr>
          <w:t>https://www.cdc.gov/niosh/docs/2007-157/default.html</w:t>
        </w:r>
      </w:hyperlink>
    </w:p>
    <w:p w14:paraId="0C3F635D" w14:textId="73516867" w:rsidR="0086361D" w:rsidRDefault="48103D76" w:rsidP="66985A26">
      <w:pPr>
        <w:rPr>
          <w:rFonts w:asciiTheme="minorHAnsi" w:eastAsiaTheme="minorEastAsia" w:hAnsiTheme="minorHAnsi" w:cstheme="minorBidi"/>
          <w:sz w:val="18"/>
          <w:szCs w:val="18"/>
        </w:rPr>
      </w:pPr>
      <w:r w:rsidRPr="66985A26">
        <w:rPr>
          <w:rFonts w:asciiTheme="minorHAnsi" w:eastAsiaTheme="minorEastAsia" w:hAnsiTheme="minorHAnsi" w:cstheme="minorBidi"/>
          <w:sz w:val="18"/>
          <w:szCs w:val="18"/>
        </w:rPr>
        <w:t xml:space="preserve">OSHA Fact Sheet: OSHA’s Bloodborne Pathogen Exposure Incidents. Occupational Safety and Health Administration, U.S. Dept of Labor. January 2011. Accessed February 16, 2024. </w:t>
      </w:r>
      <w:hyperlink r:id="rId12">
        <w:r w:rsidRPr="66985A26">
          <w:rPr>
            <w:rStyle w:val="Hyperlink"/>
            <w:rFonts w:asciiTheme="minorHAnsi" w:eastAsiaTheme="minorEastAsia" w:hAnsiTheme="minorHAnsi" w:cstheme="minorBidi"/>
            <w:sz w:val="18"/>
            <w:szCs w:val="18"/>
          </w:rPr>
          <w:t>https://www.osha.gov/sites/default/files/publications/bbfact04.pdf</w:t>
        </w:r>
      </w:hyperlink>
    </w:p>
    <w:sectPr w:rsidR="0086361D" w:rsidSect="001630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90" w:right="1498" w:bottom="274" w:left="1339" w:header="720" w:footer="6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36B4" w14:textId="77777777" w:rsidR="00441D76" w:rsidRDefault="00441D76" w:rsidP="0086361D">
      <w:r>
        <w:separator/>
      </w:r>
    </w:p>
  </w:endnote>
  <w:endnote w:type="continuationSeparator" w:id="0">
    <w:p w14:paraId="00944F75" w14:textId="77777777" w:rsidR="00441D76" w:rsidRDefault="00441D76" w:rsidP="0086361D">
      <w:r>
        <w:continuationSeparator/>
      </w:r>
    </w:p>
  </w:endnote>
  <w:endnote w:type="continuationNotice" w:id="1">
    <w:p w14:paraId="55F42203" w14:textId="77777777" w:rsidR="00441D76" w:rsidRDefault="00441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E2BF" w14:textId="77777777" w:rsidR="00155E63" w:rsidRDefault="0015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B90" w14:textId="0478A53F" w:rsidR="00304C78" w:rsidRPr="0016302D" w:rsidRDefault="003B6C7A">
    <w:pPr>
      <w:pStyle w:val="Footer"/>
      <w:rPr>
        <w:sz w:val="20"/>
        <w:szCs w:val="20"/>
      </w:rPr>
    </w:pPr>
    <w:r w:rsidRPr="0016302D">
      <w:rPr>
        <w:rFonts w:eastAsia="Times New Roman"/>
        <w:sz w:val="20"/>
        <w:szCs w:val="20"/>
      </w:rPr>
      <w:t>This job aid is a component of the free, on-demand CDC training course “Bloodborne Pathogens.”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F01" w14:textId="77777777" w:rsidR="00DE1AA9" w:rsidRDefault="00DE1AA9" w:rsidP="00DE1AA9">
    <w:pPr>
      <w:rPr>
        <w:rStyle w:val="ui-provider"/>
        <w:rFonts w:asciiTheme="minorHAnsi" w:hAnsiTheme="minorHAnsi" w:cstheme="minorHAnsi"/>
      </w:rPr>
    </w:pPr>
    <w:r w:rsidRPr="00686520">
      <w:rPr>
        <w:rStyle w:val="ui-provider"/>
        <w:rFonts w:asciiTheme="minorHAnsi" w:hAnsiTheme="minorHAnsi" w:cstheme="minorHAnsi"/>
      </w:rPr>
      <w:t xml:space="preserve">This job aid is a component of the free, on-demand CDC training course “Fundamentals of Bloodborne Pathogens.” Find the course at </w:t>
    </w:r>
    <w:hyperlink r:id="rId1" w:tgtFrame="_blank" w:tooltip="https://reach.cdc.gov/" w:history="1">
      <w:r w:rsidRPr="00686520">
        <w:rPr>
          <w:rStyle w:val="Hyperlink"/>
          <w:rFonts w:asciiTheme="minorHAnsi" w:hAnsiTheme="minorHAnsi" w:cstheme="minorHAnsi"/>
        </w:rPr>
        <w:t>reach.cdc.gov</w:t>
      </w:r>
    </w:hyperlink>
  </w:p>
  <w:p w14:paraId="2962F165" w14:textId="0257816F" w:rsidR="00DE1AA9" w:rsidRPr="00DE1AA9" w:rsidRDefault="00DE1AA9" w:rsidP="00DE1AA9">
    <w:pPr>
      <w:rPr>
        <w:rFonts w:asciiTheme="minorHAnsi" w:hAnsiTheme="minorHAnsi" w:cstheme="minorHAnsi"/>
      </w:rPr>
    </w:pPr>
    <w:r>
      <w:rPr>
        <w:rStyle w:val="ui-provider"/>
        <w:rFonts w:asciiTheme="minorHAnsi" w:hAnsiTheme="minorHAnsi" w:cstheme="minorHAnsi"/>
      </w:rPr>
      <w:t>V24060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6084" w14:textId="77777777" w:rsidR="00441D76" w:rsidRDefault="00441D76" w:rsidP="0086361D">
      <w:r>
        <w:separator/>
      </w:r>
    </w:p>
  </w:footnote>
  <w:footnote w:type="continuationSeparator" w:id="0">
    <w:p w14:paraId="45AD26F2" w14:textId="77777777" w:rsidR="00441D76" w:rsidRDefault="00441D76" w:rsidP="0086361D">
      <w:r>
        <w:continuationSeparator/>
      </w:r>
    </w:p>
  </w:footnote>
  <w:footnote w:type="continuationNotice" w:id="1">
    <w:p w14:paraId="2BA90D45" w14:textId="77777777" w:rsidR="00441D76" w:rsidRDefault="00441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8362" w14:textId="77777777" w:rsidR="00155E63" w:rsidRDefault="0015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59F" w14:textId="77777777" w:rsidR="00155E63" w:rsidRDefault="00155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14B" w14:textId="0C3F496E" w:rsidR="002D3E79" w:rsidRPr="006C213E" w:rsidRDefault="00304C78" w:rsidP="00304C78">
    <w:pPr>
      <w:pStyle w:val="Header"/>
      <w:ind w:left="-630"/>
      <w:rPr>
        <w:sz w:val="28"/>
        <w:szCs w:val="28"/>
      </w:rPr>
    </w:pPr>
    <w:r>
      <w:rPr>
        <w:sz w:val="28"/>
        <w:szCs w:val="28"/>
      </w:rPr>
      <w:t xml:space="preserve"> </w:t>
    </w:r>
    <w:r w:rsidR="002D3E79">
      <w:rPr>
        <w:sz w:val="28"/>
        <w:szCs w:val="28"/>
      </w:rPr>
      <w:t>[</w:t>
    </w:r>
    <w:r w:rsidR="002D3E79" w:rsidRPr="006C213E">
      <w:rPr>
        <w:sz w:val="28"/>
        <w:szCs w:val="28"/>
      </w:rPr>
      <w:t>Insert your agency information here</w:t>
    </w:r>
    <w:r w:rsidR="002D3E79">
      <w:rPr>
        <w:sz w:val="28"/>
        <w:szCs w:val="28"/>
      </w:rPr>
      <w:t>]</w:t>
    </w:r>
  </w:p>
  <w:p w14:paraId="7A7361CD" w14:textId="3E0B0012" w:rsidR="0086361D" w:rsidRDefault="0086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932"/>
    <w:multiLevelType w:val="multilevel"/>
    <w:tmpl w:val="47D8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B4367"/>
    <w:multiLevelType w:val="hybridMultilevel"/>
    <w:tmpl w:val="4EE4DC8E"/>
    <w:lvl w:ilvl="0" w:tplc="B7FE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07D9"/>
    <w:multiLevelType w:val="multilevel"/>
    <w:tmpl w:val="5B9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00B0F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A5C34"/>
    <w:multiLevelType w:val="multilevel"/>
    <w:tmpl w:val="A4CCC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 w:themeColor="text1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919C6"/>
    <w:multiLevelType w:val="hybridMultilevel"/>
    <w:tmpl w:val="0B726D20"/>
    <w:lvl w:ilvl="0" w:tplc="C8A0154C">
      <w:start w:val="1"/>
      <w:numFmt w:val="decimal"/>
      <w:lvlText w:val="%1."/>
      <w:lvlJc w:val="left"/>
      <w:pPr>
        <w:ind w:left="1120" w:hanging="361"/>
        <w:jc w:val="right"/>
      </w:pPr>
      <w:rPr>
        <w:rFonts w:ascii="Corbel" w:eastAsia="Corbel" w:hAnsi="Corbel" w:cs="Corbel" w:hint="default"/>
        <w:spacing w:val="-4"/>
        <w:w w:val="100"/>
        <w:sz w:val="24"/>
        <w:szCs w:val="24"/>
      </w:rPr>
    </w:lvl>
    <w:lvl w:ilvl="1" w:tplc="6256EC30">
      <w:numFmt w:val="bullet"/>
      <w:lvlText w:val="•"/>
      <w:lvlJc w:val="left"/>
      <w:pPr>
        <w:ind w:left="1980" w:hanging="361"/>
      </w:pPr>
      <w:rPr>
        <w:rFonts w:hint="default"/>
      </w:rPr>
    </w:lvl>
    <w:lvl w:ilvl="2" w:tplc="8A04320C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4214586C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A8EAA036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D7F0C81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AEDA8DD6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E9005736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2A08D99C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5" w15:restartNumberingAfterBreak="0">
    <w:nsid w:val="72AA2BAC"/>
    <w:multiLevelType w:val="hybridMultilevel"/>
    <w:tmpl w:val="2D0EB6F8"/>
    <w:lvl w:ilvl="0" w:tplc="EBA25DD0">
      <w:start w:val="1"/>
      <w:numFmt w:val="decimal"/>
      <w:lvlText w:val="%1."/>
      <w:lvlJc w:val="left"/>
      <w:pPr>
        <w:ind w:left="820" w:hanging="361"/>
      </w:pPr>
      <w:rPr>
        <w:rFonts w:hint="default"/>
        <w:spacing w:val="-4"/>
        <w:w w:val="100"/>
      </w:rPr>
    </w:lvl>
    <w:lvl w:ilvl="1" w:tplc="86A8580A">
      <w:numFmt w:val="bullet"/>
      <w:lvlText w:val="•"/>
      <w:lvlJc w:val="left"/>
      <w:pPr>
        <w:ind w:left="1678" w:hanging="361"/>
      </w:pPr>
      <w:rPr>
        <w:rFonts w:hint="default"/>
      </w:rPr>
    </w:lvl>
    <w:lvl w:ilvl="2" w:tplc="CE2C0D8A"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CFB61822"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0DE67468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240C419E"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DA582396"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7CF06DB6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3CAE35A6">
      <w:numFmt w:val="bullet"/>
      <w:lvlText w:val="•"/>
      <w:lvlJc w:val="left"/>
      <w:pPr>
        <w:ind w:left="7684" w:hanging="361"/>
      </w:pPr>
      <w:rPr>
        <w:rFonts w:hint="default"/>
      </w:rPr>
    </w:lvl>
  </w:abstractNum>
  <w:abstractNum w:abstractNumId="6" w15:restartNumberingAfterBreak="0">
    <w:nsid w:val="75B7496F"/>
    <w:multiLevelType w:val="multilevel"/>
    <w:tmpl w:val="3E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81196"/>
    <w:multiLevelType w:val="multilevel"/>
    <w:tmpl w:val="3E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55FED"/>
    <w:multiLevelType w:val="hybridMultilevel"/>
    <w:tmpl w:val="D5D25786"/>
    <w:lvl w:ilvl="0" w:tplc="383A96E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bCs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083824">
    <w:abstractNumId w:val="5"/>
  </w:num>
  <w:num w:numId="2" w16cid:durableId="759524461">
    <w:abstractNumId w:val="4"/>
  </w:num>
  <w:num w:numId="3" w16cid:durableId="89745660">
    <w:abstractNumId w:val="7"/>
  </w:num>
  <w:num w:numId="4" w16cid:durableId="1295015559">
    <w:abstractNumId w:val="2"/>
  </w:num>
  <w:num w:numId="5" w16cid:durableId="2111192355">
    <w:abstractNumId w:val="6"/>
  </w:num>
  <w:num w:numId="6" w16cid:durableId="2065256074">
    <w:abstractNumId w:val="0"/>
  </w:num>
  <w:num w:numId="7" w16cid:durableId="1820269886">
    <w:abstractNumId w:val="8"/>
  </w:num>
  <w:num w:numId="8" w16cid:durableId="1601644232">
    <w:abstractNumId w:val="3"/>
  </w:num>
  <w:num w:numId="9" w16cid:durableId="21582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2"/>
    <w:rsid w:val="00004C01"/>
    <w:rsid w:val="00006C9D"/>
    <w:rsid w:val="00034FE3"/>
    <w:rsid w:val="00035789"/>
    <w:rsid w:val="000556DA"/>
    <w:rsid w:val="00072340"/>
    <w:rsid w:val="00076527"/>
    <w:rsid w:val="000D7345"/>
    <w:rsid w:val="000F1AFE"/>
    <w:rsid w:val="000F7A76"/>
    <w:rsid w:val="00113343"/>
    <w:rsid w:val="00117B27"/>
    <w:rsid w:val="00123FB4"/>
    <w:rsid w:val="00126B08"/>
    <w:rsid w:val="001400ED"/>
    <w:rsid w:val="00144A07"/>
    <w:rsid w:val="00155E63"/>
    <w:rsid w:val="0016302D"/>
    <w:rsid w:val="00163673"/>
    <w:rsid w:val="00173C31"/>
    <w:rsid w:val="001845F5"/>
    <w:rsid w:val="0019198D"/>
    <w:rsid w:val="00193C36"/>
    <w:rsid w:val="00196A89"/>
    <w:rsid w:val="001B410D"/>
    <w:rsid w:val="001C47EF"/>
    <w:rsid w:val="001D0A8D"/>
    <w:rsid w:val="001F34C4"/>
    <w:rsid w:val="001F71B5"/>
    <w:rsid w:val="00263F89"/>
    <w:rsid w:val="0026713C"/>
    <w:rsid w:val="00297909"/>
    <w:rsid w:val="002A0877"/>
    <w:rsid w:val="002B15E5"/>
    <w:rsid w:val="002C1B5E"/>
    <w:rsid w:val="002C3AB0"/>
    <w:rsid w:val="002D3E79"/>
    <w:rsid w:val="002E30AD"/>
    <w:rsid w:val="002F14AF"/>
    <w:rsid w:val="002F5AA9"/>
    <w:rsid w:val="00304C78"/>
    <w:rsid w:val="00313A2B"/>
    <w:rsid w:val="0031432F"/>
    <w:rsid w:val="0036173C"/>
    <w:rsid w:val="00396180"/>
    <w:rsid w:val="003A5818"/>
    <w:rsid w:val="003A6CCD"/>
    <w:rsid w:val="003B66DA"/>
    <w:rsid w:val="003B6C7A"/>
    <w:rsid w:val="003F5C4E"/>
    <w:rsid w:val="00426561"/>
    <w:rsid w:val="00441D76"/>
    <w:rsid w:val="00474F51"/>
    <w:rsid w:val="0047703B"/>
    <w:rsid w:val="0047755A"/>
    <w:rsid w:val="00485B2A"/>
    <w:rsid w:val="004A2297"/>
    <w:rsid w:val="004A7DBA"/>
    <w:rsid w:val="004B2CA6"/>
    <w:rsid w:val="004D4205"/>
    <w:rsid w:val="004E1629"/>
    <w:rsid w:val="00523C03"/>
    <w:rsid w:val="00527808"/>
    <w:rsid w:val="005B515C"/>
    <w:rsid w:val="005D1A46"/>
    <w:rsid w:val="005E1F57"/>
    <w:rsid w:val="006145AA"/>
    <w:rsid w:val="00640512"/>
    <w:rsid w:val="0064748C"/>
    <w:rsid w:val="006513E0"/>
    <w:rsid w:val="00664140"/>
    <w:rsid w:val="0067320F"/>
    <w:rsid w:val="00680448"/>
    <w:rsid w:val="00686520"/>
    <w:rsid w:val="00692EA5"/>
    <w:rsid w:val="00694E9F"/>
    <w:rsid w:val="006A1606"/>
    <w:rsid w:val="006A224F"/>
    <w:rsid w:val="006A5063"/>
    <w:rsid w:val="006B5E3D"/>
    <w:rsid w:val="006C0B62"/>
    <w:rsid w:val="006C1FD8"/>
    <w:rsid w:val="006D29E3"/>
    <w:rsid w:val="006F6058"/>
    <w:rsid w:val="007477B2"/>
    <w:rsid w:val="00753A76"/>
    <w:rsid w:val="0076007E"/>
    <w:rsid w:val="00763C9B"/>
    <w:rsid w:val="00773371"/>
    <w:rsid w:val="0078703D"/>
    <w:rsid w:val="007A08C0"/>
    <w:rsid w:val="007B7347"/>
    <w:rsid w:val="007C66FE"/>
    <w:rsid w:val="007D0700"/>
    <w:rsid w:val="007D76E1"/>
    <w:rsid w:val="008066D2"/>
    <w:rsid w:val="00807EE8"/>
    <w:rsid w:val="0081471E"/>
    <w:rsid w:val="00826761"/>
    <w:rsid w:val="00827800"/>
    <w:rsid w:val="00842691"/>
    <w:rsid w:val="0086361D"/>
    <w:rsid w:val="00890047"/>
    <w:rsid w:val="00893774"/>
    <w:rsid w:val="00895184"/>
    <w:rsid w:val="008A2B4E"/>
    <w:rsid w:val="008D2488"/>
    <w:rsid w:val="008E2057"/>
    <w:rsid w:val="008F6A69"/>
    <w:rsid w:val="00911256"/>
    <w:rsid w:val="00933FE8"/>
    <w:rsid w:val="009619A9"/>
    <w:rsid w:val="00966920"/>
    <w:rsid w:val="0097496A"/>
    <w:rsid w:val="00984BFF"/>
    <w:rsid w:val="009975DB"/>
    <w:rsid w:val="009B2DBC"/>
    <w:rsid w:val="009D566E"/>
    <w:rsid w:val="009E2039"/>
    <w:rsid w:val="009F12EC"/>
    <w:rsid w:val="00A1215A"/>
    <w:rsid w:val="00A27808"/>
    <w:rsid w:val="00A5262C"/>
    <w:rsid w:val="00A5679F"/>
    <w:rsid w:val="00A64607"/>
    <w:rsid w:val="00AA719D"/>
    <w:rsid w:val="00AB67B1"/>
    <w:rsid w:val="00AC22B6"/>
    <w:rsid w:val="00AC268A"/>
    <w:rsid w:val="00AD5B28"/>
    <w:rsid w:val="00B30278"/>
    <w:rsid w:val="00B57523"/>
    <w:rsid w:val="00B57808"/>
    <w:rsid w:val="00B75F3B"/>
    <w:rsid w:val="00B77C3E"/>
    <w:rsid w:val="00B90DD4"/>
    <w:rsid w:val="00BA01EB"/>
    <w:rsid w:val="00BB1D18"/>
    <w:rsid w:val="00BC09E6"/>
    <w:rsid w:val="00BC57CD"/>
    <w:rsid w:val="00BD5A05"/>
    <w:rsid w:val="00BF4DCD"/>
    <w:rsid w:val="00C002ED"/>
    <w:rsid w:val="00C019A1"/>
    <w:rsid w:val="00C07401"/>
    <w:rsid w:val="00C1501C"/>
    <w:rsid w:val="00C43F02"/>
    <w:rsid w:val="00C6126E"/>
    <w:rsid w:val="00C62F41"/>
    <w:rsid w:val="00CB12F4"/>
    <w:rsid w:val="00CE7436"/>
    <w:rsid w:val="00D02CE6"/>
    <w:rsid w:val="00D65CB1"/>
    <w:rsid w:val="00D77E7C"/>
    <w:rsid w:val="00DD0390"/>
    <w:rsid w:val="00DD25A7"/>
    <w:rsid w:val="00DE1AA9"/>
    <w:rsid w:val="00E14970"/>
    <w:rsid w:val="00E30CAD"/>
    <w:rsid w:val="00E63FA8"/>
    <w:rsid w:val="00E701BE"/>
    <w:rsid w:val="00E80065"/>
    <w:rsid w:val="00E80441"/>
    <w:rsid w:val="00ED7188"/>
    <w:rsid w:val="00EF5F20"/>
    <w:rsid w:val="00F013F3"/>
    <w:rsid w:val="00F01F78"/>
    <w:rsid w:val="00F15AF2"/>
    <w:rsid w:val="00F41329"/>
    <w:rsid w:val="00F46ABF"/>
    <w:rsid w:val="00F47371"/>
    <w:rsid w:val="00F71EEC"/>
    <w:rsid w:val="00F80A33"/>
    <w:rsid w:val="00F93CD6"/>
    <w:rsid w:val="00F97C7F"/>
    <w:rsid w:val="00FA38E9"/>
    <w:rsid w:val="00FF65C6"/>
    <w:rsid w:val="0211C715"/>
    <w:rsid w:val="03FEED0B"/>
    <w:rsid w:val="0EE9186B"/>
    <w:rsid w:val="0FB23BBC"/>
    <w:rsid w:val="1084E8CC"/>
    <w:rsid w:val="12E9DC7E"/>
    <w:rsid w:val="1BCF88F9"/>
    <w:rsid w:val="1D5022C1"/>
    <w:rsid w:val="1F0729BB"/>
    <w:rsid w:val="2255E4B0"/>
    <w:rsid w:val="24A99873"/>
    <w:rsid w:val="26CA31EC"/>
    <w:rsid w:val="2BCC8466"/>
    <w:rsid w:val="3062D980"/>
    <w:rsid w:val="30F57518"/>
    <w:rsid w:val="31868939"/>
    <w:rsid w:val="357B5432"/>
    <w:rsid w:val="3CF182DA"/>
    <w:rsid w:val="41A9A712"/>
    <w:rsid w:val="42A3D23C"/>
    <w:rsid w:val="48103D76"/>
    <w:rsid w:val="51A3027F"/>
    <w:rsid w:val="51C60EE8"/>
    <w:rsid w:val="520D6D83"/>
    <w:rsid w:val="52E20B2E"/>
    <w:rsid w:val="534A959A"/>
    <w:rsid w:val="53FA908E"/>
    <w:rsid w:val="54366B07"/>
    <w:rsid w:val="59977FCA"/>
    <w:rsid w:val="5F810B34"/>
    <w:rsid w:val="66985A26"/>
    <w:rsid w:val="683998BB"/>
    <w:rsid w:val="690EC51D"/>
    <w:rsid w:val="6DDFF888"/>
    <w:rsid w:val="6E992663"/>
    <w:rsid w:val="6F7E06A1"/>
    <w:rsid w:val="74FFBCC7"/>
    <w:rsid w:val="770ECAF5"/>
    <w:rsid w:val="77A74036"/>
    <w:rsid w:val="7924E8E7"/>
    <w:rsid w:val="7C5C8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8A0F0"/>
  <w15:docId w15:val="{887E966E-9ED7-4D18-A4C3-F45E013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34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08"/>
    <w:rPr>
      <w:rFonts w:ascii="Segoe UI" w:eastAsia="Corbe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1D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1D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86361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513E0"/>
  </w:style>
  <w:style w:type="paragraph" w:styleId="Revision">
    <w:name w:val="Revision"/>
    <w:hidden/>
    <w:uiPriority w:val="99"/>
    <w:semiHidden/>
    <w:rsid w:val="00D02CE6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C0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401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401"/>
    <w:rPr>
      <w:rFonts w:ascii="Corbel" w:eastAsia="Corbel" w:hAnsi="Corbel" w:cs="Corbe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7347"/>
    <w:rPr>
      <w:rFonts w:eastAsiaTheme="majorEastAsia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F71EEC"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68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ha.gov/sites/default/files/publications/bbfact04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niosh/docs/2007-157/defaul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each.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8" ma:contentTypeDescription="Create a new document." ma:contentTypeScope="" ma:versionID="17f57be7a15a563e8d327ad4dbda4833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56535e36a0336a9e7abb7ef6980c828a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CSELS-1493394556-90705</_dlc_DocId>
    <_dlc_DocIdUrl xmlns="0724e717-bbe7-4e48-ae6a-faff532bb476">
      <Url>https://cdc.sharepoint.com/sites/CSELS/DLS/Training/_layouts/15/DocIdRedir.aspx?ID=CSELS-1493394556-90705</Url>
      <Description>CSELS-1493394556-90705</Description>
    </_dlc_DocIdUrl>
  </documentManagement>
</p:properties>
</file>

<file path=customXml/itemProps1.xml><?xml version="1.0" encoding="utf-8"?>
<ds:datastoreItem xmlns:ds="http://schemas.openxmlformats.org/officeDocument/2006/customXml" ds:itemID="{23BA116F-6FA5-47A1-8845-37031EA46F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44CB46-72A6-481C-8F85-2B32B9F14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FE050-51ED-4079-BB8B-3E489059F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2C99E-E3F2-4064-87E4-B4EABA4DF089}">
  <ds:schemaRefs>
    <ds:schemaRef ds:uri="0ae2426c-2c1a-4d2a-9f9e-db071f9f1e87"/>
    <ds:schemaRef ds:uri="http://purl.org/dc/terms/"/>
    <ds:schemaRef ds:uri="http://schemas.microsoft.com/office/2006/metadata/properties"/>
    <ds:schemaRef ds:uri="http://schemas.microsoft.com/office/2006/documentManagement/types"/>
    <ds:schemaRef ds:uri="ac8adce5-4867-4491-b8a8-7ad9cedf74d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24e717-bbe7-4e48-ae6a-faff532bb4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2250</Characters>
  <Application>Microsoft Office Word</Application>
  <DocSecurity>0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2572</CharactersWithSpaces>
  <SharedDoc>false</SharedDoc>
  <HLinks>
    <vt:vector size="18" baseType="variant"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https://www.osha.gov/sites/default/files/publications/bbfact04.pdf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https://www.cdc.gov/niosh/docs/2007-157/default.html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https://reach.cdc.gov/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subject/>
  <dc:creator>Centers for Disease Control and Prevention</dc:creator>
  <cp:keywords/>
  <cp:lastModifiedBy>Garcia, Roxanna (CDC/IOD/OLSS/CLSR) (CTR)</cp:lastModifiedBy>
  <cp:revision>2</cp:revision>
  <cp:lastPrinted>2020-08-12T22:53:00Z</cp:lastPrinted>
  <dcterms:created xsi:type="dcterms:W3CDTF">2024-02-29T15:41:00Z</dcterms:created>
  <dcterms:modified xsi:type="dcterms:W3CDTF">2024-02-29T15:41:00Z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2021-01-11T16:10:28Z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8abc5e6e-f00b-475f-b807-2cafeba036ca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GrammarlyDocumentId">
    <vt:lpwstr>30be720ec22c44813459d71af252936de07f97ff345cd2f06eab8770acad4674</vt:lpwstr>
  </property>
  <property fmtid="{D5CDD505-2E9C-101B-9397-08002B2CF9AE}" pid="13" name="ContentTypeId">
    <vt:lpwstr>0x01010015C86F4880FAC849A25EFA985B3E5D8B</vt:lpwstr>
  </property>
  <property fmtid="{D5CDD505-2E9C-101B-9397-08002B2CF9AE}" pid="14" name="_dlc_DocIdItemGuid">
    <vt:lpwstr>bfb52477-d3c7-457a-9d4b-299ecacbf952</vt:lpwstr>
  </property>
  <property fmtid="{D5CDD505-2E9C-101B-9397-08002B2CF9AE}" pid="15" name="MediaServiceImageTags">
    <vt:lpwstr/>
  </property>
</Properties>
</file>